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Arial" w:hAnsi="Arial" w:cs="Arial"/>
          <w:b/>
          <w:bCs/>
          <w:i w:val="0"/>
          <w:caps w:val="0"/>
          <w:color w:val="191919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DGR综合评价系统详细功能模块需求描述</w:t>
      </w:r>
    </w:p>
    <w:bookmarkEnd w:id="0"/>
    <w:tbl>
      <w:tblPr>
        <w:tblStyle w:val="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00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  <w:jc w:val="center"/>
        </w:trPr>
        <w:tc>
          <w:tcPr>
            <w:tcW w:w="944" w:type="dxa"/>
            <w:shd w:val="clear" w:color="auto" w:fill="D7D7D7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0" w:type="dxa"/>
            <w:shd w:val="clear" w:color="auto" w:fill="D7D7D7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模块名称</w:t>
            </w:r>
          </w:p>
        </w:tc>
        <w:tc>
          <w:tcPr>
            <w:tcW w:w="6352" w:type="dxa"/>
            <w:shd w:val="clear" w:color="auto" w:fill="D7D7D7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restart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DRG综合评价分析系统</w:t>
            </w: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bidi w:val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实时分组</w:t>
            </w: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部署方式：采用本地部署方式，服务搭载在应用服务器及数据库服务器中，根据分组情况、评价结果并结合本院数据情况进行全面分析；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接口开发：获取病案首页的分组必须字段，将分组必须字段输入分组服务接口，并通过接口回传分组结果；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实时分组：采用广东省卫健委同版 DRG 分组器，分组服务内嵌至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 w:bidi="ar-SA"/>
              </w:rPr>
              <w:t>医院的HIS系统或电子病历系统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，可以针对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 w:bidi="ar-SA"/>
              </w:rPr>
              <w:t>病历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数据进行实时分组，并能根据相关变化进行分组器的升级服务。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 w:bidi="ar-SA"/>
              </w:rPr>
              <w:t>需提供DRG分组器授权书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实时分组结果展示：在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 w:bidi="ar-SA"/>
              </w:rPr>
              <w:t>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中以分析表形式对分组结果进行展现，设置多维度的查询条件，例如日期、科室等；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针对具体病案可输入诊断、手术及操作、费用等相关基本信息，进行单条分组测算。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医院评价</w:t>
            </w: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医疗能力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医疗效率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医疗质量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MDC概况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病人来源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DRG组概况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权重构成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绩效分析报告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学科宽度分析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全指标同比分析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全指标环比分析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科室评价</w:t>
            </w: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临床绩效分析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医疗能力分析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医疗质量分析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服务效率分析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临床专科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主要病种分析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科室控费分析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主要科室分析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科室病种对比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病人来源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学科宽度分析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权重构成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绩效分析报告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医师分析（诊疗小组/医生个人）</w:t>
            </w: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考核绩效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能力分析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效率分析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主要病种分析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指标排名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质量分析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费用分析</w:t>
            </w: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费用总体走势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耗材费用组成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检查费用组成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病种费用分析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药品费用分析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全院费用分析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医保付费盈亏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超高费用分析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手术费用分析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麻醉费用分析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手术分析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病种分析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常见病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常见病种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高危病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高难度病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死亡率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疑难病例分析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系统报表</w:t>
            </w: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自定义报表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提供其他日常管理报表如：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病人来源病种结构分析，具体分析诊治病种信息；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提供每个科室的CMI和收支结余的分析，得出该科室是否处于一种良性发展阶段；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根据用户自定义输入权重，自动生成出每个区间内的患者数据；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对全院及各个科室四个权重区间进行同比分析，分析病历数增长情况；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住院科室医疗服务绩效DRGs综合评价得分情况；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住院科室开展手术数量与质量的综合评价；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正态分布图院内科室修改为全院病种组的查询；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查看院内各科室收治患者CC以及MCC的情况；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增加全院绩效分析报告模板；</w:t>
            </w:r>
          </w:p>
          <w:p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各科室ADRG入组情况。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辅助管理</w:t>
            </w:r>
          </w:p>
        </w:tc>
        <w:tc>
          <w:tcPr>
            <w:tcW w:w="6352" w:type="dxa"/>
            <w:noWrap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智能手动入组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实时入组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未入组分析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病种入组分析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4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2" w:type="dxa"/>
            <w:noWrap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病人入组分析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Arial" w:hAnsi="Arial" w:cs="Arial"/>
          <w:b w:val="0"/>
          <w:i w:val="0"/>
          <w:caps w:val="0"/>
          <w:color w:val="191919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Arial" w:hAnsi="Arial" w:cs="Arial"/>
          <w:b w:val="0"/>
          <w:i w:val="0"/>
          <w:caps w:val="0"/>
          <w:color w:val="191919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Arial" w:hAnsi="Arial" w:cs="Arial"/>
          <w:b w:val="0"/>
          <w:i w:val="0"/>
          <w:caps w:val="0"/>
          <w:color w:val="191919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91919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191919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91919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</w:t>
      </w:r>
    </w:p>
    <w:p>
      <w:pPr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2AA90"/>
    <w:multiLevelType w:val="singleLevel"/>
    <w:tmpl w:val="DE02AA90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YzY1OGU4MzZmMGNiYjk4OTU2ZmU0ZjFjNzJlZGUifQ=="/>
  </w:docVars>
  <w:rsids>
    <w:rsidRoot w:val="0A0E4208"/>
    <w:rsid w:val="0A0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2023-08-24T09:06:00Z</dcterms:created>
  <dc:creator>刘学红</dc:creator>
  <cp:lastModifiedBy>刘学红</cp:lastModifiedBy>
  <dcterms:modified xsi:type="dcterms:W3CDTF">2023-08-24T09:10:38Z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BC9DF721633445C198C7785B0FA860CE_11</vt:lpwstr>
  </property>
</Properties>
</file>