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B703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cs="宋体"/>
          <w:b/>
          <w:bCs/>
          <w:kern w:val="0"/>
          <w:sz w:val="36"/>
          <w:szCs w:val="36"/>
          <w:lang w:val="en-US" w:eastAsia="zh-CN"/>
        </w:rPr>
      </w:pPr>
      <w:bookmarkStart w:id="0" w:name="_Toc26813"/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佛冈县人民医院DRGs综合评价系统功能需求</w:t>
      </w:r>
    </w:p>
    <w:p w14:paraId="23D9BC32">
      <w:pPr>
        <w:pStyle w:val="2"/>
        <w:numPr>
          <w:ilvl w:val="0"/>
          <w:numId w:val="0"/>
        </w:numPr>
        <w:spacing w:before="156" w:after="156"/>
        <w:rPr>
          <w:rFonts w:hint="default" w:ascii="宋体" w:hAnsi="宋体"/>
          <w:sz w:val="32"/>
          <w:szCs w:val="32"/>
          <w:lang w:val="en-US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采购内容</w:t>
      </w:r>
      <w:bookmarkStart w:id="2" w:name="_GoBack"/>
      <w:bookmarkEnd w:id="2"/>
    </w:p>
    <w:p w14:paraId="40E5780A">
      <w:pPr>
        <w:numPr>
          <w:ilvl w:val="0"/>
          <w:numId w:val="0"/>
        </w:numPr>
        <w:spacing w:afterLines="0"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en-US"/>
        </w:rPr>
      </w:pPr>
    </w:p>
    <w:tbl>
      <w:tblPr>
        <w:tblStyle w:val="8"/>
        <w:tblW w:w="54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706"/>
        <w:gridCol w:w="4715"/>
        <w:gridCol w:w="1342"/>
        <w:gridCol w:w="723"/>
      </w:tblGrid>
      <w:tr w14:paraId="0C38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7" w:type="pct"/>
            <w:shd w:val="clear" w:color="auto" w:fill="D7D7D7" w:themeFill="background1" w:themeFillShade="D8"/>
            <w:vAlign w:val="center"/>
          </w:tcPr>
          <w:p w14:paraId="4F7BE317">
            <w:pPr>
              <w:bidi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474" w:type="pct"/>
            <w:gridSpan w:val="2"/>
            <w:shd w:val="clear" w:color="auto" w:fill="D7D7D7" w:themeFill="background1" w:themeFillShade="D8"/>
            <w:vAlign w:val="center"/>
          </w:tcPr>
          <w:p w14:paraId="122D8AAB">
            <w:pPr>
              <w:bidi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系统名称</w:t>
            </w:r>
          </w:p>
        </w:tc>
        <w:tc>
          <w:tcPr>
            <w:tcW w:w="726" w:type="pct"/>
            <w:shd w:val="clear" w:color="auto" w:fill="D7D7D7" w:themeFill="background1" w:themeFillShade="D8"/>
            <w:vAlign w:val="center"/>
          </w:tcPr>
          <w:p w14:paraId="40C49F11">
            <w:pPr>
              <w:bidi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391" w:type="pct"/>
            <w:shd w:val="clear" w:color="auto" w:fill="D7D7D7" w:themeFill="background1" w:themeFillShade="D8"/>
            <w:vAlign w:val="center"/>
          </w:tcPr>
          <w:p w14:paraId="4ECD3568">
            <w:pPr>
              <w:bidi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</w:tr>
      <w:tr w14:paraId="5605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407" w:type="pct"/>
            <w:vAlign w:val="center"/>
          </w:tcPr>
          <w:p w14:paraId="21F7F932"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3" w:type="pct"/>
            <w:vAlign w:val="center"/>
          </w:tcPr>
          <w:p w14:paraId="33CBA9D2">
            <w:pPr>
              <w:bidi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佛冈县人民医院DRGs综合评价系统</w:t>
            </w:r>
          </w:p>
        </w:tc>
        <w:tc>
          <w:tcPr>
            <w:tcW w:w="2551" w:type="pct"/>
            <w:vAlign w:val="center"/>
          </w:tcPr>
          <w:p w14:paraId="14551A0B">
            <w:pPr>
              <w:bidi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全院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Hans"/>
              </w:rPr>
              <w:t>科室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Hans"/>
              </w:rPr>
              <w:t>医师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诊疗小组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费用评价、病种评价。</w:t>
            </w:r>
            <w:r>
              <w:rPr>
                <w:rFonts w:hint="eastAsia"/>
                <w:sz w:val="21"/>
                <w:szCs w:val="21"/>
                <w:lang w:eastAsia="zh-Hans"/>
              </w:rPr>
              <w:t>能够展现我院总权重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Hans"/>
              </w:rPr>
              <w:t>入组率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Hans"/>
              </w:rPr>
              <w:t>CMI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Hans"/>
              </w:rPr>
              <w:t>出院人数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Hans"/>
              </w:rPr>
              <w:t>平均住院日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Hans"/>
              </w:rPr>
              <w:t>时间消耗指</w:t>
            </w:r>
            <w:r>
              <w:rPr>
                <w:rFonts w:hint="eastAsia"/>
                <w:sz w:val="21"/>
                <w:szCs w:val="21"/>
              </w:rPr>
              <w:t>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费用消耗指数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低风险死亡率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中低风险死亡率等数据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6" w:type="pct"/>
            <w:vAlign w:val="center"/>
          </w:tcPr>
          <w:p w14:paraId="6575018F">
            <w:pPr>
              <w:bidi w:val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1" w:type="pct"/>
            <w:vAlign w:val="center"/>
          </w:tcPr>
          <w:p w14:paraId="0D1CCA2F">
            <w:pPr>
              <w:bidi w:val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</w:t>
            </w:r>
          </w:p>
        </w:tc>
      </w:tr>
    </w:tbl>
    <w:p w14:paraId="293B1243">
      <w:pPr>
        <w:rPr>
          <w:rFonts w:hint="default" w:ascii="宋体" w:hAnsi="宋体" w:eastAsia="宋体" w:cs="宋体"/>
          <w:b/>
          <w:bCs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24"/>
          <w:lang w:val="en-US" w:eastAsia="zh-CN"/>
        </w:rPr>
        <w:br w:type="page"/>
      </w:r>
    </w:p>
    <w:p w14:paraId="1C113C08">
      <w:pPr>
        <w:pStyle w:val="2"/>
        <w:numPr>
          <w:ilvl w:val="0"/>
          <w:numId w:val="0"/>
        </w:numPr>
        <w:spacing w:before="156" w:after="156"/>
        <w:rPr>
          <w:rFonts w:hint="default" w:ascii="宋体" w:hAnsi="宋体"/>
          <w:sz w:val="32"/>
          <w:szCs w:val="32"/>
          <w:lang w:val="en-US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功能模块要求</w:t>
      </w:r>
    </w:p>
    <w:tbl>
      <w:tblPr>
        <w:tblStyle w:val="8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75"/>
        <w:gridCol w:w="5455"/>
        <w:gridCol w:w="771"/>
        <w:gridCol w:w="825"/>
      </w:tblGrid>
      <w:tr w14:paraId="39CA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1038" w:type="dxa"/>
            <w:shd w:val="clear" w:color="auto" w:fill="D7D7D7" w:themeFill="background1" w:themeFillShade="D8"/>
            <w:noWrap/>
            <w:vAlign w:val="center"/>
          </w:tcPr>
          <w:p w14:paraId="579B3672"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子系统名称</w:t>
            </w:r>
          </w:p>
        </w:tc>
        <w:tc>
          <w:tcPr>
            <w:tcW w:w="1675" w:type="dxa"/>
            <w:shd w:val="clear" w:color="auto" w:fill="D7D7D7" w:themeFill="background1" w:themeFillShade="D8"/>
            <w:noWrap/>
            <w:vAlign w:val="center"/>
          </w:tcPr>
          <w:p w14:paraId="7E1C6F82"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一级功能名称</w:t>
            </w:r>
          </w:p>
        </w:tc>
        <w:tc>
          <w:tcPr>
            <w:tcW w:w="5455" w:type="dxa"/>
            <w:shd w:val="clear" w:color="auto" w:fill="D7D7D7" w:themeFill="background1" w:themeFillShade="D8"/>
            <w:noWrap/>
            <w:vAlign w:val="center"/>
          </w:tcPr>
          <w:p w14:paraId="16CA672D"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二级功能名称</w:t>
            </w:r>
          </w:p>
        </w:tc>
        <w:tc>
          <w:tcPr>
            <w:tcW w:w="771" w:type="dxa"/>
            <w:shd w:val="clear" w:color="auto" w:fill="D7D7D7" w:themeFill="background1" w:themeFillShade="D8"/>
            <w:noWrap/>
            <w:vAlign w:val="center"/>
          </w:tcPr>
          <w:p w14:paraId="0CE93201">
            <w:pPr>
              <w:pStyle w:val="7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25" w:type="dxa"/>
            <w:shd w:val="clear" w:color="auto" w:fill="D7D7D7" w:themeFill="background1" w:themeFillShade="D8"/>
            <w:noWrap/>
            <w:vAlign w:val="center"/>
          </w:tcPr>
          <w:p w14:paraId="03326A3F">
            <w:pPr>
              <w:pStyle w:val="7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</w:tr>
      <w:tr w14:paraId="7A39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restart"/>
            <w:noWrap/>
            <w:vAlign w:val="center"/>
          </w:tcPr>
          <w:p w14:paraId="7CB6760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DRGs综合评价系统</w:t>
            </w:r>
          </w:p>
        </w:tc>
        <w:tc>
          <w:tcPr>
            <w:tcW w:w="1675" w:type="dxa"/>
            <w:vMerge w:val="restart"/>
            <w:noWrap/>
            <w:vAlign w:val="center"/>
          </w:tcPr>
          <w:p w14:paraId="3E1CEE56">
            <w:pPr>
              <w:bidi w:val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CN-DRG分组器</w:t>
            </w:r>
          </w:p>
        </w:tc>
        <w:tc>
          <w:tcPr>
            <w:tcW w:w="5455" w:type="dxa"/>
            <w:noWrap/>
            <w:vAlign w:val="center"/>
          </w:tcPr>
          <w:p w14:paraId="0C7EF87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本地部署方式，对接医院病案统计系统，根据分组情况、评价结果并结合本院数据情况进行全面分析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79363BB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6D3CA60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3DDC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738619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DF0170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042C2B5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采用广东省卫健委同版CN-DRG分组器，可针对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  <w:t>病历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数据进行实时分组，并可以进行分组器升级服务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52B7E92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475A4748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50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6F57655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4A19757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0E98A36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系统通过可视化展示智能分组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原理图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，帮助病案科管理人员提高入组准确率，同时提醒诊断或手术的关联关系（MCC/CC诊断，手术组或操作组的手术或操作）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7CB911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0B70224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03E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55871DCB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noWrap/>
            <w:vAlign w:val="center"/>
          </w:tcPr>
          <w:p w14:paraId="06786B1F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全院评价</w:t>
            </w:r>
          </w:p>
        </w:tc>
        <w:tc>
          <w:tcPr>
            <w:tcW w:w="5455" w:type="dxa"/>
            <w:noWrap/>
            <w:vAlign w:val="center"/>
          </w:tcPr>
          <w:p w14:paraId="561C8BB8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关键指标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4D7D5E68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1544D5AD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73B9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7C3ADED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5881216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23E15DC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医疗能力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83DF428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444B65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6D3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56F3FF9F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FFFBB6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2827EE6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医疗效率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720402C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024CB16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9E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AF99BC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56417D53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94F178F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医疗质量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44A74D64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68C3DD62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4A4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9E39A1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52DAEE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516C922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MDC概况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36BF4DF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1C8B712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1E8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637ABD4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C1165D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14E52B13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病人来源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590465E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B0BC204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B7D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70719655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54C29F5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1E5D035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DRG组概况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686B77C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CB179A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3A5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1BE8453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66AA3D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F8874E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权重构成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46C7308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774A6F3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F9F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753045E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0319A35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5FE33A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学科宽度分析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6030B0D8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15A2620D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F1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A2C655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6C3B99E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D0751D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全指标同比分析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691F77D4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0F0F9C00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4F4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4F6F77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6E9D4E3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8C8CC9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全指标环比分析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E0D9D0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2932FFA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F23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5726C0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noWrap/>
            <w:vAlign w:val="center"/>
          </w:tcPr>
          <w:p w14:paraId="07217E3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科室评价</w:t>
            </w:r>
          </w:p>
        </w:tc>
        <w:tc>
          <w:tcPr>
            <w:tcW w:w="5455" w:type="dxa"/>
            <w:noWrap/>
            <w:vAlign w:val="center"/>
          </w:tcPr>
          <w:p w14:paraId="6218F66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临床绩效分析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2937A493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07AFAB84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4E956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7FF344A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0A7E35AF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7420DC2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医疗能力分析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4136D21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8F2F45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E9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70D004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1ABE2D0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2AE6FE2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医疗质量分析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38522EC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2888C91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373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0FE65C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14CDB30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033879B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服务效率分析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6B0DD6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667AAD6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E8C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AE7375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71F95605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13868A6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临床专科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E9AF96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5EB9BBF0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0CB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758C334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78841B4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7A3494AF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主要病种分析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3093FEA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190104CC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D1C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4D0BCE0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12A0771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F840B4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科室控费分析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B7FDA9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0BB8CEA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B8C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488698C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426DA66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2B4833C5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主要科室分析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5D77A4DD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537AAC3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A14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786A2F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7C29F29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4DF509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科室病种对比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799C637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022F8A1D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AD3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419AB5F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84B27E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FAB846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病人来源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6C4D5D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4EB1D21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56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1E1DB25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530B875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C4EB00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学科宽度分析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331743A1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6DE3C88B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8E5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56A00AE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5A5B600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59362D4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权重构成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08C339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10528BDC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EA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15C7DCC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0AA40F4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5136D3E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绩效分析报告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2C2E16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57DA9717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30D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5A9B1AE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noWrap/>
            <w:vAlign w:val="center"/>
          </w:tcPr>
          <w:p w14:paraId="4E141EE3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医师评价（诊疗小组/医生个人）</w:t>
            </w:r>
          </w:p>
        </w:tc>
        <w:tc>
          <w:tcPr>
            <w:tcW w:w="5455" w:type="dxa"/>
            <w:noWrap/>
            <w:vAlign w:val="center"/>
          </w:tcPr>
          <w:p w14:paraId="218FE1CF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考核绩效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2D614783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46CB2DF3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332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4A85191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D86579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370D666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能力分析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85C7FF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DB82BB2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754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102679D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AA2634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5372EA7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效率分析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41164EB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0A69E22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8DD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A7D538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11CF64E8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F0F6708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主要病种分析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A0B9A6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4821BC3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DCE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B3DA68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7469472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3FA2839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指标排名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301F971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23C029F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6D3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5EDCC2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EA0C9D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40D7E8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质量分析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5A18DC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498235B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08B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1BDC02D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noWrap/>
            <w:vAlign w:val="center"/>
          </w:tcPr>
          <w:p w14:paraId="0BDA97DE">
            <w:pPr>
              <w:bidi w:val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费用评价</w:t>
            </w:r>
          </w:p>
        </w:tc>
        <w:tc>
          <w:tcPr>
            <w:tcW w:w="5455" w:type="dxa"/>
            <w:noWrap/>
            <w:vAlign w:val="center"/>
          </w:tcPr>
          <w:p w14:paraId="7322C6F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费用总体走势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3852F067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57104E47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663F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7FA946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11B2BAF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6C8338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耗材费用组成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3327C7B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64511F3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9F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6FC4877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1CC5345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3756B1B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检查费用组成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6D04F39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57FBE55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6A4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4A4E49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468E69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01941B3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病种费用分析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3177A05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146D3B2B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DB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74F2A2D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92A1D5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8212A2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药品费用分析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5804BE61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DDB2B00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B7B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F2CEAC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2CA8EB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37B390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全院费用分析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7A9025CD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76D95468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A89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1BFC440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E41048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20E72D7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超高费用分析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A480C21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2962DA9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16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BC73B0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29E661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2EB092A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手术费用分析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682E7C0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3C2CB000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53F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68DC693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67F87D93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1B82BB5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麻醉费用分析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1A8FB16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42B2733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9C6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73BB00D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noWrap/>
            <w:vAlign w:val="center"/>
          </w:tcPr>
          <w:p w14:paraId="32F14D9E">
            <w:pPr>
              <w:bidi w:val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病种绩效评价</w:t>
            </w:r>
          </w:p>
        </w:tc>
        <w:tc>
          <w:tcPr>
            <w:tcW w:w="5455" w:type="dxa"/>
            <w:noWrap/>
            <w:vAlign w:val="center"/>
          </w:tcPr>
          <w:p w14:paraId="1B664FB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关键指标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585AE13D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38A720EC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B70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3F13A9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01FEE2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1AD2361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常见病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02A5901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47FD23B7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254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5DB6CD1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59CA562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42B465E3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常见病种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06A6ED9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18ED561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E47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1019B9A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616206F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71C54A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高危病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76C79579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0BA5497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970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7567DAD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2E4C1AE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6019AFA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高难度病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12B37856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2E74FDA2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ADA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CB9BF7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7AFAA5C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5044D51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死亡率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14C11AF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6821CF02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4F4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2C66E66A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173F99F9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1391901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对比分析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6D2EF60E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4BEF8892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BCE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9AC28F2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10A0957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center"/>
          </w:tcPr>
          <w:p w14:paraId="1BC052C5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疑难病例分析</w:t>
            </w:r>
          </w:p>
        </w:tc>
        <w:tc>
          <w:tcPr>
            <w:tcW w:w="771" w:type="dxa"/>
            <w:vMerge w:val="continue"/>
            <w:noWrap/>
            <w:vAlign w:val="center"/>
          </w:tcPr>
          <w:p w14:paraId="2056B92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center"/>
          </w:tcPr>
          <w:p w14:paraId="790471E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9C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1034316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noWrap/>
            <w:vAlign w:val="center"/>
          </w:tcPr>
          <w:p w14:paraId="45B1112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系统报表</w:t>
            </w:r>
          </w:p>
        </w:tc>
        <w:tc>
          <w:tcPr>
            <w:tcW w:w="5455" w:type="dxa"/>
            <w:noWrap/>
            <w:vAlign w:val="center"/>
          </w:tcPr>
          <w:p w14:paraId="4B9D090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从全院、科室、医生、病种、费用多视角提供各种日常所需报表，包括但不限于以下报表：</w:t>
            </w:r>
          </w:p>
          <w:p w14:paraId="262AD96E">
            <w:pPr>
              <w:pStyle w:val="1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hanging="425" w:firstLineChars="0"/>
              <w:rPr>
                <w:rFonts w:hint="eastAsia" w:ascii="宋体" w:eastAsia="宋体"/>
                <w:b w:val="0"/>
                <w:bCs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1" w:name="OLE_LINK5"/>
            <w:r>
              <w:rPr>
                <w:rFonts w:hint="eastAsia" w:ascii="宋体" w:eastAsia="宋体" w:cs="宋体"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临床科室DRG入组MCC/CC分析表（临床科室使用）展示</w:t>
            </w:r>
            <w:r>
              <w:rPr>
                <w:rFonts w:hint="eastAsia" w:ascii="宋体" w:eastAsia="宋体"/>
                <w:b w:val="0"/>
                <w:bCs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 w14:paraId="7376AA31">
            <w:pPr>
              <w:pStyle w:val="1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hanging="425" w:firstLineChars="0"/>
              <w:rPr>
                <w:rFonts w:hint="eastAsia" w:ascii="宋体" w:eastAsia="宋体"/>
                <w:b w:val="0"/>
                <w:bCs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eastAsia="宋体" w:cs="宋体"/>
                <w:b w:val="0"/>
                <w:bCs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展示</w:t>
            </w:r>
            <w:r>
              <w:rPr>
                <w:rFonts w:hint="eastAsia" w:ascii="宋体" w:eastAsia="宋体"/>
                <w:b w:val="0"/>
                <w:bCs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自定义权重病例数据分析报表生成（输入任意权重值即可生成该权重值区间报表）；</w:t>
            </w:r>
          </w:p>
          <w:p w14:paraId="3C9A8DF2">
            <w:pPr>
              <w:pStyle w:val="1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hanging="425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 w:val="0"/>
                <w:bCs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重点病历分析，针对分析四级手术</w:t>
            </w:r>
            <w:r>
              <w:rPr>
                <w:rFonts w:hint="eastAsia" w:ascii="宋体" w:eastAsia="宋体" w:cs="宋体"/>
                <w:color w:val="0D0D0D" w:themeColor="text1" w:themeTint="F2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比例，转科病例，抢救病例，危重病例，死亡病例等病例数据；</w:t>
            </w:r>
            <w:bookmarkEnd w:id="1"/>
          </w:p>
        </w:tc>
        <w:tc>
          <w:tcPr>
            <w:tcW w:w="771" w:type="dxa"/>
            <w:vMerge w:val="restart"/>
            <w:noWrap/>
            <w:vAlign w:val="center"/>
          </w:tcPr>
          <w:p w14:paraId="04587282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6036729E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CEC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FEAB2E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noWrap/>
            <w:vAlign w:val="center"/>
          </w:tcPr>
          <w:p w14:paraId="718C9E03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辅助管理</w:t>
            </w:r>
          </w:p>
        </w:tc>
        <w:tc>
          <w:tcPr>
            <w:tcW w:w="5455" w:type="dxa"/>
            <w:noWrap/>
            <w:vAlign w:val="top"/>
          </w:tcPr>
          <w:p w14:paraId="411C1558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智能手动入组</w:t>
            </w:r>
          </w:p>
        </w:tc>
        <w:tc>
          <w:tcPr>
            <w:tcW w:w="771" w:type="dxa"/>
            <w:vMerge w:val="restart"/>
            <w:noWrap/>
            <w:vAlign w:val="center"/>
          </w:tcPr>
          <w:p w14:paraId="1C66FCA3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825" w:type="dxa"/>
            <w:vMerge w:val="restart"/>
            <w:noWrap/>
            <w:vAlign w:val="center"/>
          </w:tcPr>
          <w:p w14:paraId="3D31E499">
            <w:pPr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5E0F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0DD0D76F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3B54CD14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top"/>
          </w:tcPr>
          <w:p w14:paraId="3EB9859C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实时入组</w:t>
            </w:r>
          </w:p>
        </w:tc>
        <w:tc>
          <w:tcPr>
            <w:tcW w:w="771" w:type="dxa"/>
            <w:vMerge w:val="continue"/>
            <w:noWrap/>
            <w:vAlign w:val="top"/>
          </w:tcPr>
          <w:p w14:paraId="40ABDAAB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top"/>
          </w:tcPr>
          <w:p w14:paraId="19FEBBB3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CDD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397A2A71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42404535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top"/>
          </w:tcPr>
          <w:p w14:paraId="6BA240A8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未入组分析</w:t>
            </w:r>
          </w:p>
        </w:tc>
        <w:tc>
          <w:tcPr>
            <w:tcW w:w="771" w:type="dxa"/>
            <w:vMerge w:val="continue"/>
            <w:noWrap/>
            <w:vAlign w:val="top"/>
          </w:tcPr>
          <w:p w14:paraId="4958EE1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top"/>
          </w:tcPr>
          <w:p w14:paraId="20189755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367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38" w:type="dxa"/>
            <w:vMerge w:val="continue"/>
            <w:noWrap/>
            <w:vAlign w:val="center"/>
          </w:tcPr>
          <w:p w14:paraId="463FFFDB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noWrap/>
            <w:vAlign w:val="center"/>
          </w:tcPr>
          <w:p w14:paraId="5B3EE898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5" w:type="dxa"/>
            <w:noWrap/>
            <w:vAlign w:val="top"/>
          </w:tcPr>
          <w:p w14:paraId="53C7C21E">
            <w:pPr>
              <w:bidi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病种入组分析</w:t>
            </w:r>
          </w:p>
        </w:tc>
        <w:tc>
          <w:tcPr>
            <w:tcW w:w="771" w:type="dxa"/>
            <w:vMerge w:val="continue"/>
            <w:noWrap/>
            <w:vAlign w:val="top"/>
          </w:tcPr>
          <w:p w14:paraId="3AEF33BA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noWrap/>
            <w:vAlign w:val="top"/>
          </w:tcPr>
          <w:p w14:paraId="55D3A76F">
            <w:pPr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bookmarkEnd w:id="0"/>
    </w:tbl>
    <w:p w14:paraId="78AA9BA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82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4B5D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4B5D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6C34C"/>
    <w:multiLevelType w:val="singleLevel"/>
    <w:tmpl w:val="7B86C34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4D536EE8"/>
    <w:rsid w:val="0A1104E8"/>
    <w:rsid w:val="0B0C5E15"/>
    <w:rsid w:val="0CE97FBB"/>
    <w:rsid w:val="165F524C"/>
    <w:rsid w:val="16EF3DAF"/>
    <w:rsid w:val="1D7E7C3A"/>
    <w:rsid w:val="1DBD7C30"/>
    <w:rsid w:val="3E4D5A0A"/>
    <w:rsid w:val="4D536EE8"/>
    <w:rsid w:val="56EA7519"/>
    <w:rsid w:val="5A084FC7"/>
    <w:rsid w:val="5ED56FB5"/>
    <w:rsid w:val="5F7E12FC"/>
    <w:rsid w:val="60E05AE3"/>
    <w:rsid w:val="69033857"/>
    <w:rsid w:val="6B6D1ADC"/>
    <w:rsid w:val="6DDA6E79"/>
    <w:rsid w:val="70E22841"/>
    <w:rsid w:val="FAD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ind w:firstLine="560" w:firstLineChars="200"/>
      <w:outlineLvl w:val="2"/>
    </w:pPr>
    <w:rPr>
      <w:rFonts w:ascii="Times New Roman" w:hAnsi="Times New Roman" w:eastAsia="仿宋_GB2312" w:cs="Times New Roman"/>
      <w:b/>
      <w:bCs/>
      <w:snapToGrid w:val="0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qFormat/>
    <w:uiPriority w:val="0"/>
    <w:pPr>
      <w:contextualSpacing/>
    </w:pPr>
  </w:style>
  <w:style w:type="paragraph" w:customStyle="1" w:styleId="10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11">
    <w:name w:val="正文文本1"/>
    <w:basedOn w:val="1"/>
    <w:qFormat/>
    <w:uiPriority w:val="0"/>
    <w:pPr>
      <w:spacing w:after="460" w:line="295" w:lineRule="auto"/>
      <w:ind w:firstLine="120"/>
    </w:pPr>
    <w:rPr>
      <w:rFonts w:ascii="宋体" w:hAnsi="宋体" w:eastAsia="宋体" w:cs="宋体"/>
      <w:color w:val="auto"/>
      <w:kern w:val="2"/>
      <w:sz w:val="22"/>
      <w:szCs w:val="22"/>
      <w:lang w:eastAsia="zh-CN" w:bidi="ar-SA"/>
    </w:rPr>
  </w:style>
  <w:style w:type="paragraph" w:customStyle="1" w:styleId="12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1096</Characters>
  <Lines>0</Lines>
  <Paragraphs>0</Paragraphs>
  <TotalTime>3</TotalTime>
  <ScaleCrop>false</ScaleCrop>
  <LinksUpToDate>false</LinksUpToDate>
  <CharactersWithSpaces>1098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2023-08-21T10:57:00Z</dcterms:created>
  <dc:creator>波波仔</dc:creator>
  <cp:lastModifiedBy>     </cp:lastModifiedBy>
  <dcterms:modified xsi:type="dcterms:W3CDTF">2024-12-07T16:27:01Z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B9F30720A2CE4C15AEEB6E29F3F41535_13</vt:lpwstr>
  </property>
</Properties>
</file>