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1CC17">
      <w:pPr>
        <w:keepNext/>
        <w:keepLines/>
        <w:widowControl/>
        <w:numPr>
          <w:ilvl w:val="1"/>
          <w:numId w:val="0"/>
        </w:numPr>
        <w:snapToGrid w:val="0"/>
        <w:spacing w:after="0" w:line="360" w:lineRule="auto"/>
        <w:jc w:val="center"/>
        <w:outlineLvl w:val="1"/>
        <w:rPr>
          <w:rFonts w:ascii="Cambria" w:hAnsi="Cambria" w:eastAsia="楷体_GB2312" w:cs="宋体"/>
          <w:b/>
          <w:bCs/>
          <w:kern w:val="0"/>
          <w:sz w:val="36"/>
          <w:szCs w:val="32"/>
          <w:lang w:bidi="en-US"/>
          <w14:ligatures w14:val="none"/>
        </w:rPr>
      </w:pPr>
      <w:bookmarkStart w:id="0" w:name="_Toc172882660"/>
      <w:r>
        <w:rPr>
          <w:rFonts w:hint="eastAsia" w:ascii="Cambria" w:hAnsi="Cambria" w:eastAsia="楷体_GB2312" w:cs="宋体"/>
          <w:b/>
          <w:bCs/>
          <w:kern w:val="0"/>
          <w:sz w:val="36"/>
          <w:szCs w:val="32"/>
          <w:lang w:val="en-US" w:eastAsia="zh-CN" w:bidi="en-US"/>
          <w14:ligatures w14:val="none"/>
        </w:rPr>
        <w:t>医保</w:t>
      </w:r>
      <w:bookmarkStart w:id="4" w:name="_GoBack"/>
      <w:bookmarkEnd w:id="4"/>
      <w:r>
        <w:rPr>
          <w:rFonts w:hint="eastAsia" w:ascii="Cambria" w:hAnsi="Cambria" w:eastAsia="楷体_GB2312" w:cs="宋体"/>
          <w:b/>
          <w:bCs/>
          <w:kern w:val="0"/>
          <w:sz w:val="36"/>
          <w:szCs w:val="32"/>
          <w:lang w:bidi="en-US"/>
          <w14:ligatures w14:val="none"/>
        </w:rPr>
        <w:t>结算清单质控管理</w:t>
      </w:r>
      <w:bookmarkEnd w:id="0"/>
      <w:r>
        <w:rPr>
          <w:rFonts w:hint="eastAsia" w:ascii="Cambria" w:hAnsi="Cambria" w:eastAsia="楷体_GB2312" w:cs="宋体"/>
          <w:b/>
          <w:bCs/>
          <w:kern w:val="0"/>
          <w:sz w:val="36"/>
          <w:szCs w:val="32"/>
          <w:lang w:bidi="en-US"/>
          <w14:ligatures w14:val="none"/>
        </w:rPr>
        <w:t>-功能需求</w:t>
      </w:r>
    </w:p>
    <w:p w14:paraId="387C4D1B">
      <w:pPr>
        <w:pStyle w:val="28"/>
        <w:numPr>
          <w:ilvl w:val="0"/>
          <w:numId w:val="1"/>
        </w:numPr>
        <w:snapToGrid w:val="0"/>
        <w:spacing w:before="156" w:beforeLines="50" w:after="156" w:afterLines="50" w:line="360" w:lineRule="auto"/>
        <w:ind w:left="442" w:hanging="442"/>
        <w:contextualSpacing w:val="0"/>
        <w:rPr>
          <w:rFonts w:ascii="宋体" w:hAnsi="宋体" w:eastAsia="宋体"/>
          <w:b/>
          <w:bCs/>
          <w:sz w:val="24"/>
          <w:lang w:bidi="en-US"/>
        </w:rPr>
      </w:pPr>
      <w:bookmarkStart w:id="1" w:name="_Toc172882661"/>
      <w:r>
        <w:rPr>
          <w:rFonts w:hint="eastAsia" w:ascii="宋体" w:hAnsi="宋体" w:eastAsia="宋体"/>
          <w:b/>
          <w:bCs/>
          <w:sz w:val="24"/>
          <w:lang w:bidi="en-US"/>
        </w:rPr>
        <w:t>结算清单质控总览</w:t>
      </w:r>
    </w:p>
    <w:p w14:paraId="06E4DE3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bidi="en-US"/>
        </w:rPr>
      </w:pPr>
      <w:r>
        <w:rPr>
          <w:rFonts w:hint="eastAsia" w:ascii="宋体" w:hAnsi="宋体" w:eastAsia="宋体"/>
          <w:sz w:val="24"/>
          <w:lang w:bidi="en-US"/>
        </w:rPr>
        <w:t>全局展示全院结算清单整体情况，对结算清单数量进行统计分析以及各类处理数量的构成，如上传成功数量、重编码数量、单条修改数量等；剖析上传失败的错误数量及存在的质控问题构成；展示历史质控问题数量的趋势。</w:t>
      </w:r>
    </w:p>
    <w:p w14:paraId="4AFF6D4A">
      <w:pPr>
        <w:pStyle w:val="28"/>
        <w:numPr>
          <w:ilvl w:val="0"/>
          <w:numId w:val="1"/>
        </w:numPr>
        <w:snapToGrid w:val="0"/>
        <w:spacing w:before="156" w:beforeLines="50" w:after="156" w:afterLines="50" w:line="360" w:lineRule="auto"/>
        <w:ind w:left="442" w:hanging="442"/>
        <w:contextualSpacing w:val="0"/>
        <w:rPr>
          <w:rFonts w:ascii="宋体" w:hAnsi="宋体" w:eastAsia="宋体"/>
          <w:b/>
          <w:bCs/>
          <w:sz w:val="24"/>
          <w:lang w:bidi="en-US"/>
        </w:rPr>
      </w:pPr>
      <w:r>
        <w:rPr>
          <w:rFonts w:hint="eastAsia" w:ascii="宋体" w:hAnsi="宋体" w:eastAsia="宋体"/>
          <w:b/>
          <w:bCs/>
          <w:sz w:val="24"/>
          <w:lang w:bidi="en-US"/>
        </w:rPr>
        <w:t>质控规则管理</w:t>
      </w:r>
      <w:bookmarkEnd w:id="1"/>
    </w:p>
    <w:p w14:paraId="44108F0B">
      <w:pPr>
        <w:pStyle w:val="28"/>
        <w:numPr>
          <w:ilvl w:val="0"/>
          <w:numId w:val="2"/>
        </w:numPr>
        <w:spacing w:line="360" w:lineRule="auto"/>
        <w:ind w:left="442" w:hanging="442"/>
        <w:rPr>
          <w:rFonts w:ascii="宋体" w:hAnsi="宋体" w:eastAsia="宋体" w:cs="Times New Roman"/>
          <w:strike/>
          <w:dstrike w:val="0"/>
          <w:sz w:val="24"/>
        </w:rPr>
      </w:pPr>
      <w:r>
        <w:rPr>
          <w:rFonts w:hint="eastAsia" w:ascii="宋体" w:hAnsi="宋体" w:eastAsia="宋体" w:cs="Times New Roman"/>
          <w:sz w:val="24"/>
        </w:rPr>
        <w:t>质控规则库建设：创建结算清单质控规则库，内置结算清单常用质控规则，且支持医院根据实际情况灵活增减、编辑性的规则。整个规则设计操作界面应全程可视化操作</w:t>
      </w:r>
      <w:r>
        <w:rPr>
          <w:rFonts w:hint="eastAsia" w:ascii="宋体" w:hAnsi="宋体" w:eastAsia="宋体" w:cs="Times New Roman"/>
          <w:sz w:val="24"/>
          <w:lang w:eastAsia="zh-CN"/>
        </w:rPr>
        <w:t>。</w:t>
      </w:r>
    </w:p>
    <w:p w14:paraId="06A6DF6C">
      <w:pPr>
        <w:pStyle w:val="28"/>
        <w:numPr>
          <w:ilvl w:val="0"/>
          <w:numId w:val="2"/>
        </w:numPr>
        <w:spacing w:line="360" w:lineRule="auto"/>
        <w:ind w:left="442" w:hanging="442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规则管理：对结算清单质控规则库中的规则进行分门别类，方便对</w:t>
      </w:r>
      <w:r>
        <w:rPr>
          <w:rFonts w:hint="eastAsia" w:ascii="宋体" w:hAnsi="宋体" w:eastAsia="宋体"/>
          <w:sz w:val="24"/>
          <w:lang w:bidi="en-US"/>
        </w:rPr>
        <w:t>不同类型的清单进行差异化的质控管理。</w:t>
      </w:r>
    </w:p>
    <w:p w14:paraId="5950D24E">
      <w:pPr>
        <w:pStyle w:val="28"/>
        <w:numPr>
          <w:ilvl w:val="0"/>
          <w:numId w:val="2"/>
        </w:numPr>
        <w:spacing w:line="360" w:lineRule="auto"/>
        <w:ind w:left="442" w:hanging="442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字段字典管理：</w:t>
      </w:r>
      <w:r>
        <w:rPr>
          <w:rFonts w:hint="eastAsia" w:ascii="宋体" w:hAnsi="宋体" w:eastAsia="宋体"/>
          <w:sz w:val="24"/>
          <w:lang w:bidi="en-US"/>
        </w:rPr>
        <w:t>根据实际需求管理结算清单中的各项字段信息，工作人员可自定义设置字段的名称、数据类型、取值范围等，便于质控规则的设定和数据分析。</w:t>
      </w:r>
    </w:p>
    <w:p w14:paraId="2F64F3C4">
      <w:pPr>
        <w:pStyle w:val="28"/>
        <w:ind w:left="440"/>
        <w:rPr>
          <w:rFonts w:hint="eastAsia" w:ascii="宋体" w:hAnsi="宋体" w:eastAsia="宋体" w:cs="Times New Roman"/>
          <w:sz w:val="24"/>
        </w:rPr>
      </w:pPr>
    </w:p>
    <w:p w14:paraId="0CA0E08B">
      <w:pPr>
        <w:pStyle w:val="28"/>
        <w:numPr>
          <w:ilvl w:val="0"/>
          <w:numId w:val="1"/>
        </w:numPr>
        <w:snapToGrid w:val="0"/>
        <w:spacing w:before="156" w:beforeLines="50" w:after="156" w:afterLines="50" w:line="360" w:lineRule="auto"/>
        <w:ind w:left="442" w:hanging="442"/>
        <w:contextualSpacing w:val="0"/>
        <w:rPr>
          <w:rFonts w:ascii="宋体" w:hAnsi="宋体" w:eastAsia="宋体"/>
          <w:b/>
          <w:bCs/>
          <w:sz w:val="24"/>
          <w:lang w:bidi="en-US"/>
        </w:rPr>
      </w:pPr>
      <w:r>
        <w:rPr>
          <w:rFonts w:hint="eastAsia" w:ascii="宋体" w:hAnsi="宋体" w:eastAsia="宋体"/>
          <w:b/>
          <w:bCs/>
          <w:sz w:val="24"/>
          <w:lang w:bidi="en-US"/>
        </w:rPr>
        <w:t>结算清单质控</w:t>
      </w:r>
    </w:p>
    <w:p w14:paraId="00C403C5">
      <w:pPr>
        <w:pStyle w:val="28"/>
        <w:numPr>
          <w:ilvl w:val="0"/>
          <w:numId w:val="3"/>
        </w:numPr>
        <w:spacing w:line="360" w:lineRule="auto"/>
        <w:ind w:left="442" w:hanging="442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结算清单数据获取：通过与第三方业务系统对接，获取并生成患者计算清单数据；</w:t>
      </w:r>
    </w:p>
    <w:p w14:paraId="12D2DEAF">
      <w:pPr>
        <w:pStyle w:val="28"/>
        <w:numPr>
          <w:ilvl w:val="0"/>
          <w:numId w:val="3"/>
        </w:numPr>
        <w:spacing w:line="360" w:lineRule="auto"/>
        <w:ind w:left="442" w:hanging="442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结算清单质控：系统对结算清单数据进行智能审核，对于不符合规范性的数据项，系统将予以特别备注，生成质控结果，并提供不符合原因、修改建议等，提醒工作人员予以修改。对每次修改痕迹进行整理并以时间轴的方式进行串联，方便对修改记录追溯。</w:t>
      </w:r>
    </w:p>
    <w:p w14:paraId="3ECA7252">
      <w:pPr>
        <w:pStyle w:val="28"/>
        <w:numPr>
          <w:ilvl w:val="0"/>
          <w:numId w:val="3"/>
        </w:numPr>
        <w:spacing w:line="360" w:lineRule="auto"/>
        <w:ind w:left="442" w:hanging="442"/>
        <w:rPr>
          <w:rFonts w:ascii="宋体" w:hAnsi="宋体" w:eastAsia="宋体"/>
          <w:sz w:val="24"/>
          <w:lang w:bidi="en-US"/>
        </w:rPr>
      </w:pPr>
      <w:r>
        <w:rPr>
          <w:rFonts w:hint="eastAsia" w:ascii="宋体" w:hAnsi="宋体" w:eastAsia="宋体" w:cs="Times New Roman"/>
          <w:sz w:val="24"/>
        </w:rPr>
        <w:t>质控问题汇总：</w:t>
      </w:r>
      <w:r>
        <w:rPr>
          <w:rFonts w:hint="eastAsia" w:ascii="宋体" w:hAnsi="宋体" w:eastAsia="宋体"/>
          <w:sz w:val="24"/>
          <w:lang w:bidi="en-US"/>
        </w:rPr>
        <w:t>对质控过程中发现的问题进行汇总和记录,自动汇总成质控问题列表。</w:t>
      </w:r>
    </w:p>
    <w:p w14:paraId="0C84B420">
      <w:pPr>
        <w:pStyle w:val="28"/>
        <w:numPr>
          <w:ilvl w:val="0"/>
          <w:numId w:val="3"/>
        </w:numPr>
        <w:spacing w:line="360" w:lineRule="auto"/>
        <w:ind w:left="442" w:hanging="442"/>
        <w:rPr>
          <w:rFonts w:ascii="宋体" w:hAnsi="宋体" w:eastAsia="宋体"/>
          <w:sz w:val="24"/>
          <w:lang w:bidi="en-US"/>
        </w:rPr>
      </w:pPr>
      <w:r>
        <w:rPr>
          <w:rFonts w:hint="eastAsia" w:ascii="宋体" w:hAnsi="宋体" w:eastAsia="宋体"/>
          <w:sz w:val="24"/>
          <w:lang w:bidi="en-US"/>
        </w:rPr>
        <w:t>结算清单数据导出：支持对单个或批量病例的结算清单数据以E</w:t>
      </w:r>
      <w:r>
        <w:rPr>
          <w:rFonts w:ascii="宋体" w:hAnsi="宋体" w:eastAsia="宋体"/>
          <w:sz w:val="24"/>
          <w:lang w:bidi="en-US"/>
        </w:rPr>
        <w:t>XCEL</w:t>
      </w:r>
      <w:r>
        <w:rPr>
          <w:rFonts w:hint="eastAsia" w:ascii="宋体" w:hAnsi="宋体" w:eastAsia="宋体"/>
          <w:sz w:val="24"/>
          <w:lang w:bidi="en-US"/>
        </w:rPr>
        <w:t>、PDF的方式导出。</w:t>
      </w:r>
    </w:p>
    <w:p w14:paraId="2C7CAE27">
      <w:pPr>
        <w:pStyle w:val="28"/>
        <w:numPr>
          <w:ilvl w:val="0"/>
          <w:numId w:val="3"/>
        </w:numPr>
        <w:spacing w:line="360" w:lineRule="auto"/>
        <w:ind w:left="442" w:hanging="442"/>
        <w:rPr>
          <w:rFonts w:hint="eastAsia" w:ascii="宋体" w:hAnsi="宋体" w:eastAsia="宋体"/>
          <w:sz w:val="24"/>
          <w:lang w:bidi="en-US"/>
        </w:rPr>
      </w:pPr>
      <w:r>
        <w:rPr>
          <w:rFonts w:hint="eastAsia" w:ascii="宋体" w:hAnsi="宋体" w:eastAsia="宋体"/>
          <w:sz w:val="24"/>
          <w:lang w:bidi="en-US"/>
        </w:rPr>
        <w:t>支持展示各种病种组合入组、倍率及预结算情况</w:t>
      </w:r>
      <w:r>
        <w:rPr>
          <w:rFonts w:hint="eastAsia" w:ascii="宋体" w:hAnsi="宋体" w:eastAsia="宋体"/>
          <w:sz w:val="24"/>
          <w:lang w:eastAsia="zh-CN" w:bidi="en-US"/>
        </w:rPr>
        <w:t>。</w:t>
      </w:r>
    </w:p>
    <w:p w14:paraId="1B3BC4B8">
      <w:pPr>
        <w:pStyle w:val="28"/>
        <w:numPr>
          <w:ilvl w:val="0"/>
          <w:numId w:val="3"/>
        </w:numPr>
        <w:spacing w:line="360" w:lineRule="auto"/>
        <w:ind w:left="442" w:hanging="442"/>
        <w:rPr>
          <w:rFonts w:ascii="宋体" w:hAnsi="宋体" w:eastAsia="宋体"/>
          <w:sz w:val="24"/>
          <w:lang w:bidi="en-US"/>
        </w:rPr>
      </w:pPr>
      <w:r>
        <w:rPr>
          <w:rFonts w:hint="eastAsia" w:ascii="宋体" w:hAnsi="宋体" w:eastAsia="宋体"/>
          <w:sz w:val="24"/>
          <w:lang w:bidi="en-US"/>
        </w:rPr>
        <w:t>支持与医保下发的结算清单数据信息核对，并自动生成核对存在问题以便修正</w:t>
      </w:r>
      <w:r>
        <w:rPr>
          <w:rFonts w:hint="eastAsia" w:ascii="宋体" w:hAnsi="宋体" w:eastAsia="宋体"/>
          <w:sz w:val="24"/>
          <w:lang w:eastAsia="zh-CN" w:bidi="en-US"/>
        </w:rPr>
        <w:t>。</w:t>
      </w:r>
    </w:p>
    <w:p w14:paraId="5B5E3CC8">
      <w:pPr>
        <w:pStyle w:val="28"/>
        <w:ind w:left="440"/>
        <w:rPr>
          <w:rFonts w:hint="eastAsia" w:ascii="宋体" w:hAnsi="宋体" w:eastAsia="宋体"/>
          <w:sz w:val="24"/>
          <w:lang w:bidi="en-US"/>
        </w:rPr>
      </w:pPr>
    </w:p>
    <w:p w14:paraId="7FAD2A1F">
      <w:pPr>
        <w:pStyle w:val="28"/>
        <w:numPr>
          <w:ilvl w:val="0"/>
          <w:numId w:val="1"/>
        </w:numPr>
        <w:snapToGrid w:val="0"/>
        <w:spacing w:before="156" w:beforeLines="50" w:after="156" w:afterLines="50" w:line="360" w:lineRule="auto"/>
        <w:ind w:left="442" w:hanging="442"/>
        <w:contextualSpacing w:val="0"/>
        <w:rPr>
          <w:rFonts w:ascii="宋体" w:hAnsi="宋体" w:eastAsia="宋体"/>
          <w:b/>
          <w:bCs/>
          <w:sz w:val="24"/>
          <w:lang w:bidi="en-US"/>
        </w:rPr>
      </w:pPr>
      <w:bookmarkStart w:id="2" w:name="_Toc172882663"/>
      <w:r>
        <w:rPr>
          <w:rFonts w:hint="eastAsia" w:ascii="宋体" w:hAnsi="宋体" w:eastAsia="宋体"/>
          <w:b/>
          <w:bCs/>
          <w:sz w:val="24"/>
          <w:lang w:bidi="en-US"/>
        </w:rPr>
        <w:t>结算清单上传</w:t>
      </w:r>
      <w:bookmarkEnd w:id="2"/>
    </w:p>
    <w:p w14:paraId="3135EC8F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创建标准数据接口，支持工作人员对已经通过审核的病例，进行单个或批量上传，完成结算清单数据一键上传，并可查询导出上传信息，提高上传效率。</w:t>
      </w:r>
    </w:p>
    <w:p w14:paraId="7CC1092E">
      <w:pPr>
        <w:pStyle w:val="28"/>
        <w:numPr>
          <w:ilvl w:val="0"/>
          <w:numId w:val="1"/>
        </w:numPr>
        <w:rPr>
          <w:rFonts w:ascii="宋体" w:hAnsi="宋体" w:eastAsia="宋体"/>
          <w:b/>
          <w:bCs/>
          <w:sz w:val="24"/>
          <w:lang w:bidi="en-US"/>
        </w:rPr>
      </w:pPr>
      <w:bookmarkStart w:id="3" w:name="_Toc172882664"/>
      <w:r>
        <w:rPr>
          <w:rFonts w:hint="eastAsia" w:ascii="宋体" w:hAnsi="宋体" w:eastAsia="宋体"/>
          <w:b/>
          <w:bCs/>
          <w:sz w:val="24"/>
          <w:lang w:bidi="en-US"/>
        </w:rPr>
        <w:t>清单归档</w:t>
      </w:r>
      <w:bookmarkEnd w:id="3"/>
    </w:p>
    <w:p w14:paraId="3337784C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对上传成功无误的结算清单信息进行统一归档管理保存，供工作人员随时查阅审计。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84B07"/>
    <w:multiLevelType w:val="multilevel"/>
    <w:tmpl w:val="41784B07"/>
    <w:lvl w:ilvl="0" w:tentative="0">
      <w:start w:val="1"/>
      <w:numFmt w:val="chineseCountingThousand"/>
      <w:lvlText w:val="%1、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ADE5A0E"/>
    <w:multiLevelType w:val="multilevel"/>
    <w:tmpl w:val="4ADE5A0E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FAB1F97"/>
    <w:multiLevelType w:val="multilevel"/>
    <w:tmpl w:val="4FAB1F97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F8"/>
    <w:rsid w:val="00004B1A"/>
    <w:rsid w:val="006C69F8"/>
    <w:rsid w:val="008A29CB"/>
    <w:rsid w:val="00913EDD"/>
    <w:rsid w:val="00A80F47"/>
    <w:rsid w:val="00BE2D36"/>
    <w:rsid w:val="00C93AFB"/>
    <w:rsid w:val="00E254AD"/>
    <w:rsid w:val="10661211"/>
    <w:rsid w:val="13C533DD"/>
    <w:rsid w:val="19786A19"/>
    <w:rsid w:val="2558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737</Words>
  <Characters>743</Characters>
  <Lines>5</Lines>
  <Paragraphs>1</Paragraphs>
  <TotalTime>49</TotalTime>
  <ScaleCrop>false</ScaleCrop>
  <LinksUpToDate>false</LinksUpToDate>
  <CharactersWithSpaces>743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2024-12-20T05:40:00Z</dcterms:created>
  <dc:creator>User</dc:creator>
  <cp:lastModifiedBy>何报杰</cp:lastModifiedBy>
  <dcterms:modified xsi:type="dcterms:W3CDTF">2024-12-23T16:32:19Z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D3F96B6F9F654953B1F7D09F0545DB8F_12</vt:lpwstr>
  </property>
</Properties>
</file>