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89E40">
      <w:pPr>
        <w:pStyle w:val="4"/>
        <w:pageBreakBefore/>
        <w:rPr>
          <w:rFonts w:ascii="仿宋_GB2312" w:eastAsia="仿宋_GB2312" w:cs="Arial"/>
          <w:bCs/>
          <w:sz w:val="24"/>
          <w:szCs w:val="24"/>
        </w:rPr>
      </w:pPr>
      <w:r>
        <w:rPr>
          <w:rFonts w:hint="eastAsia" w:ascii="仿宋_GB2312" w:eastAsia="仿宋_GB2312" w:hAnsiTheme="minorHAnsi" w:cstheme="minorBidi"/>
          <w:sz w:val="30"/>
          <w:szCs w:val="30"/>
        </w:rPr>
        <w:t xml:space="preserve">附件2：  </w:t>
      </w:r>
    </w:p>
    <w:p w14:paraId="4F10E2B6">
      <w:pPr>
        <w:pStyle w:val="26"/>
        <w:spacing w:line="360" w:lineRule="auto"/>
        <w:jc w:val="center"/>
        <w:rPr>
          <w:rFonts w:ascii="宋体" w:hAnsi="宋体"/>
          <w:b/>
          <w:color w:val="000000"/>
          <w:sz w:val="32"/>
          <w:szCs w:val="32"/>
        </w:rPr>
      </w:pPr>
      <w:r>
        <w:rPr>
          <w:rFonts w:hint="eastAsia" w:ascii="宋体" w:hAnsi="宋体"/>
          <w:b/>
          <w:color w:val="000000"/>
          <w:sz w:val="32"/>
          <w:szCs w:val="32"/>
          <w:lang w:eastAsia="zh-CN"/>
        </w:rPr>
        <w:t>价格部分</w:t>
      </w:r>
    </w:p>
    <w:p w14:paraId="012E2B83">
      <w:pPr>
        <w:spacing w:line="380" w:lineRule="exact"/>
        <w:rPr>
          <w:rFonts w:ascii="仿宋" w:hAnsi="仿宋" w:eastAsia="仿宋"/>
          <w:sz w:val="28"/>
          <w:szCs w:val="28"/>
        </w:rPr>
      </w:pPr>
    </w:p>
    <w:p w14:paraId="7EA334B0">
      <w:pPr>
        <w:spacing w:line="360" w:lineRule="auto"/>
        <w:jc w:val="left"/>
        <w:rPr>
          <w:rFonts w:ascii="宋体" w:hAnsi="宋体"/>
          <w:color w:val="000000"/>
        </w:rPr>
      </w:pPr>
      <w:r>
        <w:rPr>
          <w:rFonts w:hint="eastAsia" w:ascii="宋体" w:hAnsi="宋体"/>
          <w:color w:val="000000"/>
        </w:rPr>
        <w:t xml:space="preserve">        </w:t>
      </w:r>
    </w:p>
    <w:tbl>
      <w:tblPr>
        <w:tblStyle w:val="11"/>
        <w:tblW w:w="9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124"/>
        <w:gridCol w:w="2460"/>
        <w:gridCol w:w="2087"/>
        <w:gridCol w:w="1164"/>
      </w:tblGrid>
      <w:tr w14:paraId="63B5F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B72D9D8">
            <w:pPr>
              <w:spacing w:line="360" w:lineRule="auto"/>
              <w:jc w:val="center"/>
              <w:rPr>
                <w:rFonts w:hint="eastAsia" w:asciiTheme="majorEastAsia" w:hAnsiTheme="majorEastAsia" w:eastAsiaTheme="majorEastAsia" w:cstheme="majorEastAsia"/>
                <w:b/>
                <w:bCs/>
                <w:color w:val="000000"/>
                <w:sz w:val="22"/>
                <w:szCs w:val="22"/>
              </w:rPr>
            </w:pPr>
            <w:r>
              <w:rPr>
                <w:rFonts w:hint="eastAsia" w:asciiTheme="majorEastAsia" w:hAnsiTheme="majorEastAsia" w:eastAsiaTheme="majorEastAsia" w:cstheme="majorEastAsia"/>
                <w:b/>
                <w:bCs/>
                <w:color w:val="000000"/>
                <w:sz w:val="22"/>
                <w:szCs w:val="22"/>
              </w:rPr>
              <w:t>序号</w:t>
            </w:r>
          </w:p>
        </w:tc>
        <w:tc>
          <w:tcPr>
            <w:tcW w:w="3124" w:type="dxa"/>
            <w:tcBorders>
              <w:top w:val="single" w:color="auto" w:sz="4" w:space="0"/>
              <w:left w:val="single" w:color="auto" w:sz="4" w:space="0"/>
              <w:bottom w:val="single" w:color="auto" w:sz="4" w:space="0"/>
              <w:right w:val="single" w:color="auto" w:sz="4" w:space="0"/>
            </w:tcBorders>
            <w:noWrap w:val="0"/>
            <w:vAlign w:val="center"/>
          </w:tcPr>
          <w:p w14:paraId="7A1584A5">
            <w:pPr>
              <w:jc w:val="center"/>
              <w:rPr>
                <w:rFonts w:hint="eastAsia" w:asciiTheme="majorEastAsia" w:hAnsiTheme="majorEastAsia" w:eastAsiaTheme="majorEastAsia" w:cstheme="majorEastAsia"/>
                <w:b/>
                <w:bCs/>
                <w:color w:val="000000"/>
                <w:sz w:val="22"/>
                <w:szCs w:val="22"/>
                <w:lang w:val="en-US" w:eastAsia="zh-CN"/>
              </w:rPr>
            </w:pPr>
            <w:r>
              <w:rPr>
                <w:rFonts w:hint="eastAsia" w:asciiTheme="majorEastAsia" w:hAnsiTheme="majorEastAsia" w:eastAsiaTheme="majorEastAsia" w:cstheme="majorEastAsia"/>
                <w:b/>
                <w:bCs/>
                <w:color w:val="000000"/>
                <w:sz w:val="22"/>
                <w:szCs w:val="22"/>
                <w:lang w:val="en-US" w:eastAsia="zh-CN"/>
              </w:rPr>
              <w:t>项目名称</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42FF9123">
            <w:pPr>
              <w:jc w:val="center"/>
              <w:rPr>
                <w:rFonts w:hint="eastAsia" w:asciiTheme="majorEastAsia" w:hAnsiTheme="majorEastAsia" w:eastAsiaTheme="majorEastAsia" w:cstheme="majorEastAsia"/>
                <w:b/>
                <w:bCs/>
                <w:color w:val="000000"/>
                <w:sz w:val="22"/>
                <w:szCs w:val="22"/>
                <w:lang w:val="en-US" w:eastAsia="zh-CN"/>
              </w:rPr>
            </w:pPr>
            <w:r>
              <w:rPr>
                <w:rFonts w:hint="eastAsia" w:asciiTheme="majorEastAsia" w:hAnsiTheme="majorEastAsia" w:eastAsiaTheme="majorEastAsia" w:cstheme="majorEastAsia"/>
                <w:b/>
                <w:bCs/>
                <w:i w:val="0"/>
                <w:iCs w:val="0"/>
                <w:caps w:val="0"/>
                <w:color w:val="333333"/>
                <w:spacing w:val="0"/>
                <w:sz w:val="22"/>
                <w:szCs w:val="22"/>
                <w:shd w:val="clear" w:fill="FFFFFF"/>
                <w:lang w:val="en-US" w:eastAsia="zh-CN"/>
              </w:rPr>
              <w:t>维修项目工时费下浮率（%）</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7ADDD7D">
            <w:pPr>
              <w:jc w:val="center"/>
              <w:rPr>
                <w:rFonts w:hint="eastAsia" w:asciiTheme="majorEastAsia" w:hAnsiTheme="majorEastAsia" w:eastAsiaTheme="majorEastAsia" w:cstheme="majorEastAsia"/>
                <w:b/>
                <w:bCs/>
                <w:color w:val="000000"/>
                <w:sz w:val="22"/>
                <w:szCs w:val="22"/>
                <w:lang w:val="en-US" w:eastAsia="zh-CN"/>
              </w:rPr>
            </w:pPr>
            <w:r>
              <w:rPr>
                <w:rFonts w:hint="eastAsia" w:asciiTheme="majorEastAsia" w:hAnsiTheme="majorEastAsia" w:eastAsiaTheme="majorEastAsia" w:cstheme="majorEastAsia"/>
                <w:b/>
                <w:bCs/>
                <w:i w:val="0"/>
                <w:iCs w:val="0"/>
                <w:caps w:val="0"/>
                <w:color w:val="333333"/>
                <w:spacing w:val="0"/>
                <w:sz w:val="22"/>
                <w:szCs w:val="22"/>
                <w:shd w:val="clear" w:fill="FFFFFF"/>
              </w:rPr>
              <w:t>维修材料管理费率</w:t>
            </w:r>
            <w:r>
              <w:rPr>
                <w:rFonts w:hint="eastAsia" w:asciiTheme="majorEastAsia" w:hAnsiTheme="majorEastAsia" w:eastAsiaTheme="majorEastAsia" w:cstheme="majorEastAsia"/>
                <w:b/>
                <w:bCs/>
                <w:i w:val="0"/>
                <w:iCs w:val="0"/>
                <w:caps w:val="0"/>
                <w:color w:val="333333"/>
                <w:spacing w:val="0"/>
                <w:sz w:val="22"/>
                <w:szCs w:val="22"/>
                <w:shd w:val="clear" w:fill="FFFFFF"/>
                <w:lang w:eastAsia="zh-CN"/>
              </w:rPr>
              <w:t>（</w:t>
            </w:r>
            <w:r>
              <w:rPr>
                <w:rFonts w:hint="eastAsia" w:asciiTheme="majorEastAsia" w:hAnsiTheme="majorEastAsia" w:eastAsiaTheme="majorEastAsia" w:cstheme="majorEastAsia"/>
                <w:b/>
                <w:bCs/>
                <w:i w:val="0"/>
                <w:iCs w:val="0"/>
                <w:caps w:val="0"/>
                <w:color w:val="333333"/>
                <w:spacing w:val="0"/>
                <w:sz w:val="22"/>
                <w:szCs w:val="22"/>
                <w:shd w:val="clear" w:fill="FFFFFF"/>
                <w:lang w:val="en-US" w:eastAsia="zh-CN"/>
              </w:rPr>
              <w:t>%</w:t>
            </w:r>
            <w:r>
              <w:rPr>
                <w:rFonts w:hint="eastAsia" w:asciiTheme="majorEastAsia" w:hAnsiTheme="majorEastAsia" w:eastAsiaTheme="majorEastAsia" w:cstheme="majorEastAsia"/>
                <w:b/>
                <w:bCs/>
                <w:i w:val="0"/>
                <w:iCs w:val="0"/>
                <w:caps w:val="0"/>
                <w:color w:val="333333"/>
                <w:spacing w:val="0"/>
                <w:sz w:val="22"/>
                <w:szCs w:val="22"/>
                <w:shd w:val="clear" w:fill="FFFFFF"/>
                <w:lang w:eastAsia="zh-CN"/>
              </w:rPr>
              <w:t>）</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8ED3125">
            <w:pPr>
              <w:jc w:val="center"/>
              <w:rPr>
                <w:rFonts w:hint="eastAsia" w:asciiTheme="majorEastAsia" w:hAnsiTheme="majorEastAsia" w:eastAsiaTheme="majorEastAsia" w:cstheme="majorEastAsia"/>
                <w:b/>
                <w:bCs/>
                <w:color w:val="000000"/>
                <w:kern w:val="2"/>
                <w:sz w:val="22"/>
                <w:szCs w:val="22"/>
                <w:lang w:val="en-US" w:eastAsia="zh-CN" w:bidi="ar-SA"/>
              </w:rPr>
            </w:pPr>
            <w:r>
              <w:rPr>
                <w:rFonts w:hint="eastAsia" w:asciiTheme="majorEastAsia" w:hAnsiTheme="majorEastAsia" w:eastAsiaTheme="majorEastAsia" w:cstheme="majorEastAsia"/>
                <w:b/>
                <w:bCs/>
                <w:color w:val="000000"/>
                <w:kern w:val="2"/>
                <w:sz w:val="22"/>
                <w:szCs w:val="22"/>
                <w:lang w:val="en-US" w:eastAsia="zh-CN" w:bidi="ar-SA"/>
              </w:rPr>
              <w:t>备注</w:t>
            </w:r>
          </w:p>
        </w:tc>
      </w:tr>
      <w:tr w14:paraId="0EF33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tblHeade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014641">
            <w:pPr>
              <w:jc w:val="center"/>
              <w:rPr>
                <w:rFonts w:hint="eastAsia" w:asciiTheme="majorEastAsia" w:hAnsiTheme="majorEastAsia" w:eastAsiaTheme="majorEastAsia" w:cstheme="majorEastAsia"/>
                <w:b/>
                <w:bCs/>
                <w:color w:val="000000"/>
                <w:sz w:val="22"/>
                <w:szCs w:val="22"/>
                <w:lang w:val="en-US" w:eastAsia="zh-CN"/>
              </w:rPr>
            </w:pPr>
            <w:r>
              <w:rPr>
                <w:rFonts w:hint="eastAsia" w:asciiTheme="majorEastAsia" w:hAnsiTheme="majorEastAsia" w:eastAsiaTheme="majorEastAsia" w:cstheme="majorEastAsia"/>
                <w:b/>
                <w:bCs/>
                <w:color w:val="000000"/>
                <w:sz w:val="22"/>
                <w:szCs w:val="22"/>
                <w:lang w:val="en-US" w:eastAsia="zh-CN"/>
              </w:rPr>
              <w:t>1</w:t>
            </w:r>
          </w:p>
        </w:tc>
        <w:tc>
          <w:tcPr>
            <w:tcW w:w="3124" w:type="dxa"/>
            <w:tcBorders>
              <w:top w:val="single" w:color="auto" w:sz="4" w:space="0"/>
              <w:left w:val="single" w:color="auto" w:sz="4" w:space="0"/>
              <w:bottom w:val="single" w:color="auto" w:sz="4" w:space="0"/>
              <w:right w:val="single" w:color="auto" w:sz="4" w:space="0"/>
            </w:tcBorders>
            <w:noWrap w:val="0"/>
            <w:vAlign w:val="center"/>
          </w:tcPr>
          <w:p w14:paraId="0CC77949">
            <w:pPr>
              <w:jc w:val="center"/>
              <w:rPr>
                <w:rFonts w:hint="eastAsia" w:asciiTheme="majorEastAsia" w:hAnsiTheme="majorEastAsia" w:eastAsiaTheme="majorEastAsia" w:cstheme="majorEastAsia"/>
                <w:b/>
                <w:bCs/>
                <w:color w:val="000000"/>
                <w:sz w:val="22"/>
                <w:szCs w:val="22"/>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7196D83">
            <w:pPr>
              <w:jc w:val="center"/>
              <w:rPr>
                <w:rFonts w:hint="eastAsia" w:asciiTheme="majorEastAsia" w:hAnsiTheme="majorEastAsia" w:eastAsiaTheme="majorEastAsia" w:cstheme="majorEastAsia"/>
                <w:b/>
                <w:bCs/>
                <w:color w:val="000000"/>
                <w:sz w:val="22"/>
                <w:szCs w:val="22"/>
                <w:lang w:val="en-US"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14:paraId="3130DCCC">
            <w:pPr>
              <w:jc w:val="center"/>
              <w:rPr>
                <w:rFonts w:hint="eastAsia" w:asciiTheme="majorEastAsia" w:hAnsiTheme="majorEastAsia" w:eastAsiaTheme="majorEastAsia" w:cstheme="majorEastAsia"/>
                <w:b/>
                <w:bCs/>
                <w:color w:val="000000"/>
                <w:sz w:val="22"/>
                <w:szCs w:val="22"/>
                <w:lang w:val="en-US" w:eastAsia="zh-CN"/>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1B686D7">
            <w:pPr>
              <w:jc w:val="center"/>
              <w:rPr>
                <w:rFonts w:hint="eastAsia" w:asciiTheme="majorEastAsia" w:hAnsiTheme="majorEastAsia" w:eastAsiaTheme="majorEastAsia" w:cstheme="majorEastAsia"/>
                <w:b/>
                <w:bCs/>
                <w:color w:val="000000"/>
                <w:sz w:val="22"/>
                <w:szCs w:val="22"/>
                <w:lang w:val="en-US" w:eastAsia="zh-CN"/>
              </w:rPr>
            </w:pPr>
          </w:p>
        </w:tc>
      </w:tr>
      <w:tr w14:paraId="25F3F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16" w:hRule="atLeast"/>
          <w:tblHeader/>
          <w:jc w:val="center"/>
        </w:trPr>
        <w:tc>
          <w:tcPr>
            <w:tcW w:w="9803" w:type="dxa"/>
            <w:gridSpan w:val="5"/>
            <w:tcBorders>
              <w:top w:val="single" w:color="auto" w:sz="4" w:space="0"/>
              <w:left w:val="single" w:color="auto" w:sz="4" w:space="0"/>
              <w:bottom w:val="single" w:color="auto" w:sz="4" w:space="0"/>
              <w:right w:val="single" w:color="auto" w:sz="4" w:space="0"/>
            </w:tcBorders>
            <w:noWrap w:val="0"/>
            <w:vAlign w:val="center"/>
          </w:tcPr>
          <w:p w14:paraId="14577383">
            <w:pPr>
              <w:ind w:left="440" w:hanging="440" w:hangingChars="200"/>
              <w:jc w:val="left"/>
              <w:rPr>
                <w:rFonts w:hint="eastAsia" w:ascii="宋体" w:hAnsi="宋体"/>
                <w:b w:val="0"/>
                <w:bCs/>
                <w:color w:val="auto"/>
                <w:sz w:val="22"/>
                <w:szCs w:val="28"/>
                <w:lang w:val="en-US" w:eastAsia="zh-CN"/>
              </w:rPr>
            </w:pPr>
          </w:p>
          <w:p w14:paraId="26EEEBD9">
            <w:pPr>
              <w:ind w:left="440" w:hanging="440" w:hangingChars="200"/>
              <w:jc w:val="left"/>
              <w:rPr>
                <w:rFonts w:hint="eastAsia" w:ascii="宋体" w:hAnsi="宋体"/>
                <w:b w:val="0"/>
                <w:bCs/>
                <w:color w:val="auto"/>
                <w:sz w:val="21"/>
                <w:szCs w:val="21"/>
                <w:lang w:val="en-US" w:eastAsia="zh-CN"/>
              </w:rPr>
            </w:pPr>
            <w:r>
              <w:rPr>
                <w:rFonts w:hint="eastAsia" w:ascii="宋体" w:hAnsi="宋体"/>
                <w:b w:val="0"/>
                <w:bCs/>
                <w:color w:val="auto"/>
                <w:sz w:val="22"/>
                <w:szCs w:val="28"/>
                <w:lang w:val="en-US" w:eastAsia="zh-CN"/>
              </w:rPr>
              <w:t>（1）</w:t>
            </w:r>
            <w:r>
              <w:rPr>
                <w:rFonts w:hint="eastAsia" w:ascii="宋体" w:hAnsi="宋体"/>
                <w:b w:val="0"/>
                <w:bCs/>
                <w:color w:val="auto"/>
                <w:sz w:val="21"/>
                <w:szCs w:val="21"/>
                <w:u w:val="single"/>
                <w:lang w:val="en-US" w:eastAsia="zh-CN"/>
              </w:rPr>
              <w:t>维修费结算金额=维修项目工时费+维修材料费。</w:t>
            </w:r>
            <w:r>
              <w:rPr>
                <w:rFonts w:hint="eastAsia" w:ascii="宋体" w:hAnsi="宋体"/>
                <w:b w:val="0"/>
                <w:bCs/>
                <w:color w:val="auto"/>
                <w:sz w:val="21"/>
                <w:szCs w:val="21"/>
                <w:u w:val="single"/>
                <w:lang w:val="en-US" w:eastAsia="zh-CN"/>
              </w:rPr>
              <w:br w:type="textWrapping"/>
            </w:r>
          </w:p>
          <w:p w14:paraId="78740DD1">
            <w:pPr>
              <w:numPr>
                <w:numId w:val="0"/>
              </w:numPr>
              <w:jc w:val="left"/>
              <w:rPr>
                <w:rFonts w:hint="eastAsia" w:ascii="宋体" w:hAnsi="宋体"/>
                <w:b w:val="0"/>
                <w:bCs/>
                <w:color w:val="auto"/>
                <w:sz w:val="21"/>
                <w:szCs w:val="21"/>
                <w:lang w:val="en-US" w:eastAsia="zh-CN"/>
              </w:rPr>
            </w:pPr>
            <w:r>
              <w:rPr>
                <w:rFonts w:hint="eastAsia" w:ascii="宋体" w:hAnsi="宋体"/>
                <w:b w:val="0"/>
                <w:bCs/>
                <w:color w:val="auto"/>
                <w:sz w:val="22"/>
                <w:szCs w:val="28"/>
                <w:lang w:val="en-US" w:eastAsia="zh-CN"/>
              </w:rPr>
              <w:t>（2）</w:t>
            </w:r>
            <w:r>
              <w:rPr>
                <w:rFonts w:hint="eastAsia" w:ascii="宋体" w:hAnsi="宋体"/>
                <w:b w:val="0"/>
                <w:bCs/>
                <w:color w:val="auto"/>
                <w:sz w:val="21"/>
                <w:szCs w:val="21"/>
                <w:u w:val="single"/>
                <w:lang w:val="en-US" w:eastAsia="zh-CN"/>
              </w:rPr>
              <w:t>维修项目工时费=工时×维修项目工时费收费标准（按各保养类型）×（1-下浮率）</w:t>
            </w:r>
            <w:r>
              <w:rPr>
                <w:rFonts w:hint="eastAsia" w:ascii="宋体" w:hAnsi="宋体"/>
                <w:b w:val="0"/>
                <w:bCs/>
                <w:color w:val="auto"/>
                <w:sz w:val="21"/>
                <w:szCs w:val="21"/>
                <w:lang w:val="en-US" w:eastAsia="zh-CN"/>
              </w:rPr>
              <w:t>，</w:t>
            </w:r>
          </w:p>
          <w:p w14:paraId="79121FB0">
            <w:pPr>
              <w:numPr>
                <w:numId w:val="0"/>
              </w:numPr>
              <w:ind w:firstLine="420" w:firstLineChars="200"/>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维修项目工时费报价明细详见附件3。</w:t>
            </w:r>
            <w:r>
              <w:rPr>
                <w:rFonts w:hint="eastAsia" w:ascii="宋体" w:hAnsi="宋体"/>
                <w:b w:val="0"/>
                <w:bCs/>
                <w:color w:val="auto"/>
                <w:sz w:val="21"/>
                <w:szCs w:val="21"/>
                <w:lang w:val="en-US" w:eastAsia="zh-CN"/>
              </w:rPr>
              <w:br w:type="textWrapping"/>
            </w:r>
          </w:p>
          <w:p w14:paraId="414CD024">
            <w:pPr>
              <w:ind w:left="420" w:hanging="420" w:hangingChars="200"/>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（3）</w:t>
            </w:r>
            <w:r>
              <w:rPr>
                <w:rFonts w:hint="eastAsia" w:ascii="宋体" w:hAnsi="宋体"/>
                <w:b w:val="0"/>
                <w:bCs/>
                <w:color w:val="auto"/>
                <w:sz w:val="21"/>
                <w:szCs w:val="21"/>
                <w:u w:val="single"/>
                <w:lang w:val="en-US" w:eastAsia="zh-CN"/>
              </w:rPr>
              <w:t>维修材料费=材料进货价×（1＋材料管理费率），</w:t>
            </w:r>
            <w:bookmarkStart w:id="0" w:name="_GoBack"/>
            <w:bookmarkEnd w:id="0"/>
            <w:r>
              <w:rPr>
                <w:rFonts w:hint="eastAsia" w:ascii="宋体" w:hAnsi="宋体"/>
                <w:b w:val="0"/>
                <w:bCs/>
                <w:color w:val="auto"/>
                <w:sz w:val="21"/>
                <w:szCs w:val="21"/>
                <w:lang w:val="en-US" w:eastAsia="zh-CN"/>
              </w:rPr>
              <w:br w:type="textWrapping"/>
            </w:r>
            <w:r>
              <w:rPr>
                <w:rFonts w:hint="eastAsia" w:ascii="宋体" w:hAnsi="宋体"/>
                <w:b w:val="0"/>
                <w:bCs/>
                <w:color w:val="auto"/>
                <w:sz w:val="21"/>
                <w:szCs w:val="21"/>
                <w:lang w:val="en-US" w:eastAsia="zh-CN"/>
              </w:rPr>
              <w:t>维修材料管理费率是指材料实际购进价格和销售价格的差价与材料实际购进价格之比，送修单位按照“维修材料费＝维修材料进货价×（1＋维修材料管理费率）”与定点维修企业结算维修材料费。</w:t>
            </w:r>
          </w:p>
          <w:p w14:paraId="63E0E460">
            <w:pPr>
              <w:jc w:val="left"/>
              <w:rPr>
                <w:rFonts w:hint="eastAsia" w:ascii="宋体" w:hAnsi="宋体"/>
                <w:b/>
                <w:color w:val="FF0000"/>
                <w:lang w:val="en-US" w:eastAsia="zh-CN"/>
              </w:rPr>
            </w:pPr>
          </w:p>
        </w:tc>
      </w:tr>
    </w:tbl>
    <w:p w14:paraId="7CED2E25">
      <w:pPr>
        <w:spacing w:line="360" w:lineRule="auto"/>
        <w:rPr>
          <w:rFonts w:hint="eastAsia" w:ascii="宋体" w:hAnsi="宋体"/>
          <w:color w:val="000000"/>
          <w:szCs w:val="21"/>
        </w:rPr>
      </w:pPr>
    </w:p>
    <w:p w14:paraId="0616D238">
      <w:pPr>
        <w:spacing w:line="360" w:lineRule="auto"/>
        <w:rPr>
          <w:rFonts w:hint="eastAsia" w:ascii="宋体" w:hAnsi="宋体"/>
          <w:color w:val="000000"/>
          <w:szCs w:val="21"/>
        </w:rPr>
      </w:pPr>
      <w:r>
        <w:rPr>
          <w:rFonts w:hint="eastAsia" w:ascii="宋体" w:hAnsi="宋体"/>
          <w:color w:val="000000"/>
          <w:szCs w:val="21"/>
        </w:rPr>
        <w:t>注：</w:t>
      </w:r>
    </w:p>
    <w:p w14:paraId="625D3ABD">
      <w:pPr>
        <w:spacing w:line="360" w:lineRule="auto"/>
        <w:ind w:firstLine="420" w:firstLineChars="200"/>
        <w:rPr>
          <w:rFonts w:ascii="宋体" w:hAnsi="宋体"/>
          <w:color w:val="000000"/>
          <w:szCs w:val="21"/>
        </w:rPr>
      </w:pPr>
      <w:r>
        <w:rPr>
          <w:rFonts w:hint="eastAsia" w:ascii="宋体" w:hAnsi="宋体"/>
          <w:color w:val="000000"/>
          <w:szCs w:val="21"/>
        </w:rPr>
        <w:t>1.供应商须按要求填写所有信息，不得随意更改本表格式。</w:t>
      </w:r>
    </w:p>
    <w:p w14:paraId="2A19BF0D">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lang w:val="en-US" w:eastAsia="zh-CN"/>
        </w:rPr>
        <w:t>2.</w:t>
      </w:r>
      <w:r>
        <w:rPr>
          <w:rFonts w:hint="eastAsia" w:ascii="宋体" w:hAnsi="宋体"/>
          <w:color w:val="000000"/>
          <w:szCs w:val="21"/>
        </w:rPr>
        <w:t>必须</w:t>
      </w:r>
      <w:r>
        <w:rPr>
          <w:rFonts w:hint="eastAsia" w:ascii="宋体" w:hAnsi="宋体"/>
          <w:color w:val="000000"/>
          <w:szCs w:val="21"/>
          <w:lang w:val="en-US" w:eastAsia="zh-CN"/>
        </w:rPr>
        <w:t>包括</w:t>
      </w:r>
      <w:r>
        <w:rPr>
          <w:rFonts w:hint="eastAsia" w:ascii="宋体" w:hAnsi="宋体"/>
          <w:color w:val="000000"/>
          <w:szCs w:val="21"/>
        </w:rPr>
        <w:t>完成本</w:t>
      </w:r>
      <w:r>
        <w:rPr>
          <w:rFonts w:hint="eastAsia" w:ascii="宋体" w:hAnsi="宋体"/>
          <w:color w:val="000000"/>
          <w:szCs w:val="21"/>
          <w:lang w:eastAsia="zh-CN"/>
        </w:rPr>
        <w:t>项目</w:t>
      </w:r>
      <w:r>
        <w:rPr>
          <w:rFonts w:hint="eastAsia" w:ascii="宋体" w:hAnsi="宋体"/>
          <w:color w:val="000000"/>
          <w:szCs w:val="21"/>
        </w:rPr>
        <w:t>所需的一切费用。</w:t>
      </w:r>
    </w:p>
    <w:p w14:paraId="3C0E3DAE">
      <w:pPr>
        <w:keepNext w:val="0"/>
        <w:keepLines w:val="0"/>
        <w:pageBreakBefore w:val="0"/>
        <w:widowControl w:val="0"/>
        <w:tabs>
          <w:tab w:val="left" w:pos="0"/>
        </w:tabs>
        <w:kinsoku/>
        <w:wordWrap/>
        <w:overflowPunct/>
        <w:topLinePunct w:val="0"/>
        <w:autoSpaceDE/>
        <w:autoSpaceDN/>
        <w:bidi w:val="0"/>
        <w:spacing w:line="360" w:lineRule="auto"/>
        <w:ind w:left="0" w:leftChars="0" w:right="0" w:rightChars="0" w:firstLine="420" w:firstLineChars="200"/>
        <w:jc w:val="both"/>
        <w:textAlignment w:val="auto"/>
        <w:outlineLvl w:val="9"/>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w:t>
      </w:r>
      <w:r>
        <w:rPr>
          <w:rFonts w:hint="eastAsia" w:ascii="宋体" w:hAnsi="宋体"/>
          <w:color w:val="000000"/>
          <w:szCs w:val="21"/>
          <w:lang w:eastAsia="zh-CN"/>
        </w:rPr>
        <w:t>供应商</w:t>
      </w:r>
      <w:r>
        <w:rPr>
          <w:rFonts w:hint="eastAsia" w:ascii="宋体" w:hAnsi="宋体"/>
          <w:color w:val="000000"/>
          <w:szCs w:val="21"/>
        </w:rPr>
        <w:t>在填报</w:t>
      </w:r>
      <w:r>
        <w:rPr>
          <w:rFonts w:hint="eastAsia" w:ascii="宋体" w:hAnsi="宋体"/>
          <w:color w:val="000000"/>
          <w:szCs w:val="21"/>
          <w:lang w:eastAsia="zh-CN"/>
        </w:rPr>
        <w:t>调研</w:t>
      </w:r>
      <w:r>
        <w:rPr>
          <w:rFonts w:hint="eastAsia" w:ascii="宋体" w:hAnsi="宋体"/>
          <w:color w:val="000000"/>
          <w:szCs w:val="21"/>
        </w:rPr>
        <w:t>报价时，应根据</w:t>
      </w:r>
      <w:r>
        <w:rPr>
          <w:rFonts w:hint="eastAsia" w:ascii="宋体" w:hAnsi="宋体"/>
          <w:color w:val="000000"/>
          <w:szCs w:val="21"/>
          <w:lang w:eastAsia="zh-CN"/>
        </w:rPr>
        <w:t>公司</w:t>
      </w:r>
      <w:r>
        <w:rPr>
          <w:rFonts w:hint="eastAsia" w:ascii="宋体" w:hAnsi="宋体"/>
          <w:color w:val="000000"/>
          <w:szCs w:val="21"/>
        </w:rPr>
        <w:t>自身的成本核算情况，充分考虑市场价格的波动风险。一经</w:t>
      </w:r>
      <w:r>
        <w:rPr>
          <w:rFonts w:hint="eastAsia" w:ascii="宋体" w:hAnsi="宋体"/>
          <w:color w:val="000000"/>
          <w:szCs w:val="21"/>
          <w:lang w:eastAsia="zh-CN"/>
        </w:rPr>
        <w:t>参与</w:t>
      </w:r>
      <w:r>
        <w:rPr>
          <w:rFonts w:hint="eastAsia" w:ascii="宋体" w:hAnsi="宋体"/>
          <w:color w:val="000000"/>
          <w:szCs w:val="21"/>
        </w:rPr>
        <w:t>，即认为</w:t>
      </w:r>
      <w:r>
        <w:rPr>
          <w:rFonts w:hint="eastAsia" w:ascii="宋体" w:hAnsi="宋体"/>
          <w:color w:val="000000"/>
          <w:szCs w:val="21"/>
          <w:lang w:eastAsia="zh-CN"/>
        </w:rPr>
        <w:t>供应商</w:t>
      </w:r>
      <w:r>
        <w:rPr>
          <w:rFonts w:hint="eastAsia" w:ascii="宋体" w:hAnsi="宋体"/>
          <w:color w:val="000000"/>
          <w:szCs w:val="21"/>
        </w:rPr>
        <w:t>已充分考虑有关风险，愿意承担因这些风险所造成的一切经济损失，并放弃因此造成的损失求偿权。</w:t>
      </w:r>
    </w:p>
    <w:p w14:paraId="2C89B4D1">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此表是</w:t>
      </w:r>
      <w:r>
        <w:rPr>
          <w:rFonts w:hint="eastAsia" w:ascii="宋体" w:hAnsi="宋体"/>
          <w:color w:val="000000"/>
          <w:szCs w:val="21"/>
          <w:lang w:eastAsia="zh-CN"/>
        </w:rPr>
        <w:t>调研</w:t>
      </w:r>
      <w:r>
        <w:rPr>
          <w:rFonts w:hint="eastAsia" w:ascii="宋体" w:hAnsi="宋体"/>
          <w:color w:val="000000"/>
          <w:szCs w:val="21"/>
        </w:rPr>
        <w:t>文件的必要文件，是</w:t>
      </w:r>
      <w:r>
        <w:rPr>
          <w:rFonts w:hint="eastAsia" w:ascii="宋体" w:hAnsi="宋体"/>
          <w:color w:val="000000"/>
          <w:szCs w:val="21"/>
          <w:lang w:eastAsia="zh-CN"/>
        </w:rPr>
        <w:t>调研</w:t>
      </w:r>
      <w:r>
        <w:rPr>
          <w:rFonts w:hint="eastAsia" w:ascii="宋体" w:hAnsi="宋体"/>
          <w:color w:val="000000"/>
          <w:szCs w:val="21"/>
        </w:rPr>
        <w:t>文件的组成部分。</w:t>
      </w:r>
    </w:p>
    <w:p w14:paraId="6E8F1310">
      <w:pPr>
        <w:adjustRightInd w:val="0"/>
        <w:snapToGrid w:val="0"/>
        <w:spacing w:line="360" w:lineRule="auto"/>
        <w:rPr>
          <w:rFonts w:ascii="宋体" w:hAnsi="宋体"/>
          <w:color w:val="000000"/>
          <w:szCs w:val="21"/>
        </w:rPr>
      </w:pPr>
      <w:r>
        <w:rPr>
          <w:rFonts w:hint="eastAsia" w:ascii="宋体" w:hAnsi="宋体"/>
          <w:color w:val="000000"/>
          <w:szCs w:val="21"/>
          <w:lang w:val="en-US" w:eastAsia="zh-CN"/>
        </w:rPr>
        <w:t xml:space="preserve"> </w:t>
      </w:r>
    </w:p>
    <w:p w14:paraId="0D339861">
      <w:pPr>
        <w:pStyle w:val="2"/>
        <w:rPr>
          <w:rFonts w:ascii="宋体" w:hAnsi="宋体"/>
          <w:color w:val="000000"/>
          <w:szCs w:val="21"/>
        </w:rPr>
      </w:pPr>
    </w:p>
    <w:p w14:paraId="5E1B6768">
      <w:pPr>
        <w:pStyle w:val="2"/>
        <w:rPr>
          <w:rFonts w:ascii="宋体" w:hAnsi="宋体"/>
          <w:color w:val="000000"/>
          <w:szCs w:val="21"/>
        </w:rPr>
      </w:pPr>
    </w:p>
    <w:p w14:paraId="421C9555">
      <w:pPr>
        <w:pStyle w:val="2"/>
        <w:rPr>
          <w:rFonts w:ascii="宋体" w:hAnsi="宋体"/>
          <w:color w:val="000000"/>
          <w:szCs w:val="21"/>
        </w:rPr>
      </w:pPr>
    </w:p>
    <w:p w14:paraId="67967B81">
      <w:pPr>
        <w:adjustRightInd w:val="0"/>
        <w:snapToGrid w:val="0"/>
        <w:spacing w:line="360" w:lineRule="auto"/>
        <w:jc w:val="right"/>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lang w:val="en-US" w:eastAsia="zh-CN"/>
        </w:rPr>
        <w:t>_______________</w:t>
      </w:r>
      <w:r>
        <w:rPr>
          <w:rFonts w:hint="eastAsia" w:ascii="宋体" w:hAnsi="宋体"/>
          <w:color w:val="000000"/>
          <w:szCs w:val="21"/>
          <w:u w:val="single"/>
        </w:rPr>
        <w:t xml:space="preserve">                   </w:t>
      </w:r>
    </w:p>
    <w:p w14:paraId="2C1FFE64">
      <w:pPr>
        <w:adjustRightInd w:val="0"/>
        <w:snapToGrid w:val="0"/>
        <w:spacing w:line="360" w:lineRule="auto"/>
        <w:jc w:val="right"/>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lang w:val="en-US" w:eastAsia="zh-CN"/>
        </w:rPr>
        <w:t>______________</w:t>
      </w:r>
      <w:r>
        <w:rPr>
          <w:rFonts w:hint="eastAsia" w:ascii="宋体" w:hAnsi="宋体"/>
          <w:color w:val="000000"/>
          <w:szCs w:val="21"/>
          <w:u w:val="single"/>
        </w:rPr>
        <w:t xml:space="preserve">                        </w:t>
      </w:r>
    </w:p>
    <w:p w14:paraId="5D43E7B3">
      <w:pPr>
        <w:spacing w:line="360" w:lineRule="auto"/>
        <w:jc w:val="right"/>
      </w:pPr>
      <w:r>
        <w:rPr>
          <w:rFonts w:hint="eastAsia" w:ascii="宋体" w:hAnsi="宋体"/>
          <w:color w:val="000000"/>
          <w:szCs w:val="21"/>
        </w:rPr>
        <w:t>日期：   年   月   日</w:t>
      </w:r>
    </w:p>
    <w:p w14:paraId="69E1029A"/>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D1E213-33DE-4893-8EAA-2E3C30A28E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5B3FF1-725C-41F6-8149-ED98CDD326C3}"/>
  </w:font>
  <w:font w:name="仿宋_GB2312">
    <w:panose1 w:val="02010609030101010101"/>
    <w:charset w:val="86"/>
    <w:family w:val="modern"/>
    <w:pitch w:val="default"/>
    <w:sig w:usb0="00000001" w:usb1="080E0000" w:usb2="00000000" w:usb3="00000000" w:csb0="00040000" w:csb1="00000000"/>
    <w:embedRegular r:id="rId3" w:fontKey="{8DAF8EF4-60BF-4F45-9F6D-39421EEDAC5F}"/>
  </w:font>
  <w:font w:name="仿宋">
    <w:panose1 w:val="02010609060101010101"/>
    <w:charset w:val="86"/>
    <w:family w:val="modern"/>
    <w:pitch w:val="default"/>
    <w:sig w:usb0="800002BF" w:usb1="38CF7CFA" w:usb2="00000016" w:usb3="00000000" w:csb0="00040001" w:csb1="00000000"/>
    <w:embedRegular r:id="rId4" w:fontKey="{B231A5A7-C1BE-4EEC-A289-1E87A54923D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2036"/>
      <w:docPartObj>
        <w:docPartGallery w:val="autotext"/>
      </w:docPartObj>
    </w:sdtPr>
    <w:sdtContent>
      <w:p w14:paraId="0D611F8B">
        <w:pPr>
          <w:pStyle w:val="7"/>
          <w:jc w:val="right"/>
        </w:pPr>
        <w:r>
          <w:fldChar w:fldCharType="begin"/>
        </w:r>
        <w:r>
          <w:instrText xml:space="preserve"> PAGE   \* MERGEFORMAT </w:instrText>
        </w:r>
        <w:r>
          <w:fldChar w:fldCharType="separate"/>
        </w:r>
        <w:r>
          <w:rPr>
            <w:lang w:val="zh-CN"/>
          </w:rPr>
          <w:t>4</w:t>
        </w:r>
        <w:r>
          <w:rPr>
            <w:lang w:val="zh-CN"/>
          </w:rPr>
          <w:fldChar w:fldCharType="end"/>
        </w:r>
      </w:p>
    </w:sdtContent>
  </w:sdt>
  <w:p w14:paraId="518481A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IwNTZkMTIzOWYxODc1NzhjMGE2NTViOGFhMjkxMjgifQ=="/>
  </w:docVars>
  <w:rsids>
    <w:rsidRoot w:val="00B64B32"/>
    <w:rsid w:val="00020A0F"/>
    <w:rsid w:val="00042556"/>
    <w:rsid w:val="00051908"/>
    <w:rsid w:val="000606DF"/>
    <w:rsid w:val="00060BB7"/>
    <w:rsid w:val="000A0F0D"/>
    <w:rsid w:val="000A1D2B"/>
    <w:rsid w:val="000A2D94"/>
    <w:rsid w:val="000B2D31"/>
    <w:rsid w:val="000B49E4"/>
    <w:rsid w:val="000C3B53"/>
    <w:rsid w:val="000D11C1"/>
    <w:rsid w:val="000D2FBF"/>
    <w:rsid w:val="000E686B"/>
    <w:rsid w:val="000F2BA0"/>
    <w:rsid w:val="000F4B56"/>
    <w:rsid w:val="000F70B0"/>
    <w:rsid w:val="0010413C"/>
    <w:rsid w:val="00136E84"/>
    <w:rsid w:val="00137875"/>
    <w:rsid w:val="00140786"/>
    <w:rsid w:val="001407C1"/>
    <w:rsid w:val="00151B5D"/>
    <w:rsid w:val="00175080"/>
    <w:rsid w:val="00185E73"/>
    <w:rsid w:val="001941B2"/>
    <w:rsid w:val="00194AA3"/>
    <w:rsid w:val="00194B7E"/>
    <w:rsid w:val="00194CBB"/>
    <w:rsid w:val="001D1A93"/>
    <w:rsid w:val="001D369C"/>
    <w:rsid w:val="001E35A3"/>
    <w:rsid w:val="001E51F1"/>
    <w:rsid w:val="00205CF4"/>
    <w:rsid w:val="00223BF2"/>
    <w:rsid w:val="002245C1"/>
    <w:rsid w:val="00233547"/>
    <w:rsid w:val="002522FF"/>
    <w:rsid w:val="002770D4"/>
    <w:rsid w:val="00295C95"/>
    <w:rsid w:val="002A290B"/>
    <w:rsid w:val="002A2A2C"/>
    <w:rsid w:val="002B2C14"/>
    <w:rsid w:val="002D22C6"/>
    <w:rsid w:val="002F1C64"/>
    <w:rsid w:val="002F4EA8"/>
    <w:rsid w:val="00302937"/>
    <w:rsid w:val="0030493D"/>
    <w:rsid w:val="003069AA"/>
    <w:rsid w:val="003208B3"/>
    <w:rsid w:val="0032746E"/>
    <w:rsid w:val="0037651C"/>
    <w:rsid w:val="0039110B"/>
    <w:rsid w:val="003D2020"/>
    <w:rsid w:val="003E7FA0"/>
    <w:rsid w:val="00400793"/>
    <w:rsid w:val="00416DDE"/>
    <w:rsid w:val="004309D5"/>
    <w:rsid w:val="00431676"/>
    <w:rsid w:val="00432436"/>
    <w:rsid w:val="00437F75"/>
    <w:rsid w:val="0044283E"/>
    <w:rsid w:val="00445420"/>
    <w:rsid w:val="00453CBE"/>
    <w:rsid w:val="004632FC"/>
    <w:rsid w:val="0049684C"/>
    <w:rsid w:val="004B1D19"/>
    <w:rsid w:val="004B2F81"/>
    <w:rsid w:val="004B4902"/>
    <w:rsid w:val="004B6C1F"/>
    <w:rsid w:val="004D1600"/>
    <w:rsid w:val="004D358D"/>
    <w:rsid w:val="005078FE"/>
    <w:rsid w:val="005179A1"/>
    <w:rsid w:val="00527DED"/>
    <w:rsid w:val="005775EE"/>
    <w:rsid w:val="00594003"/>
    <w:rsid w:val="005A63E3"/>
    <w:rsid w:val="005B04C2"/>
    <w:rsid w:val="005B1A55"/>
    <w:rsid w:val="005B1EBB"/>
    <w:rsid w:val="005B6DB3"/>
    <w:rsid w:val="005C3313"/>
    <w:rsid w:val="00606903"/>
    <w:rsid w:val="00641EA6"/>
    <w:rsid w:val="00680C1E"/>
    <w:rsid w:val="00690D6F"/>
    <w:rsid w:val="006C31C9"/>
    <w:rsid w:val="006D0ADF"/>
    <w:rsid w:val="00762116"/>
    <w:rsid w:val="0076227A"/>
    <w:rsid w:val="007652E9"/>
    <w:rsid w:val="00766938"/>
    <w:rsid w:val="00767ACB"/>
    <w:rsid w:val="00771844"/>
    <w:rsid w:val="00795DDF"/>
    <w:rsid w:val="007B13B6"/>
    <w:rsid w:val="007D1912"/>
    <w:rsid w:val="007F5905"/>
    <w:rsid w:val="008102F1"/>
    <w:rsid w:val="00812714"/>
    <w:rsid w:val="008355E2"/>
    <w:rsid w:val="00840D09"/>
    <w:rsid w:val="00856584"/>
    <w:rsid w:val="00856CCF"/>
    <w:rsid w:val="008655DE"/>
    <w:rsid w:val="00880C87"/>
    <w:rsid w:val="00884C25"/>
    <w:rsid w:val="0089081D"/>
    <w:rsid w:val="00892DEC"/>
    <w:rsid w:val="008B24EA"/>
    <w:rsid w:val="008C1360"/>
    <w:rsid w:val="008E16F6"/>
    <w:rsid w:val="008E4F7C"/>
    <w:rsid w:val="008F67AD"/>
    <w:rsid w:val="0090473E"/>
    <w:rsid w:val="00914F0D"/>
    <w:rsid w:val="00922F95"/>
    <w:rsid w:val="00923592"/>
    <w:rsid w:val="0093371C"/>
    <w:rsid w:val="009578CD"/>
    <w:rsid w:val="00965FEB"/>
    <w:rsid w:val="009902BB"/>
    <w:rsid w:val="00990DA3"/>
    <w:rsid w:val="009A7897"/>
    <w:rsid w:val="009B1BEA"/>
    <w:rsid w:val="009C59D3"/>
    <w:rsid w:val="009F5C3E"/>
    <w:rsid w:val="00A06FF6"/>
    <w:rsid w:val="00A45997"/>
    <w:rsid w:val="00A53BAF"/>
    <w:rsid w:val="00A64546"/>
    <w:rsid w:val="00A66239"/>
    <w:rsid w:val="00A80942"/>
    <w:rsid w:val="00A87F84"/>
    <w:rsid w:val="00AC62D4"/>
    <w:rsid w:val="00AD41B3"/>
    <w:rsid w:val="00AE5FFB"/>
    <w:rsid w:val="00AF7D2C"/>
    <w:rsid w:val="00B30831"/>
    <w:rsid w:val="00B45086"/>
    <w:rsid w:val="00B62EDF"/>
    <w:rsid w:val="00B64B32"/>
    <w:rsid w:val="00B73B32"/>
    <w:rsid w:val="00BB42F0"/>
    <w:rsid w:val="00BE0D39"/>
    <w:rsid w:val="00BF07AB"/>
    <w:rsid w:val="00BF3B1C"/>
    <w:rsid w:val="00C60EDD"/>
    <w:rsid w:val="00C66A4F"/>
    <w:rsid w:val="00C6732E"/>
    <w:rsid w:val="00C73D60"/>
    <w:rsid w:val="00C84203"/>
    <w:rsid w:val="00C905B0"/>
    <w:rsid w:val="00CB5EAF"/>
    <w:rsid w:val="00CC309E"/>
    <w:rsid w:val="00CE5299"/>
    <w:rsid w:val="00D32965"/>
    <w:rsid w:val="00D44C57"/>
    <w:rsid w:val="00D45CA8"/>
    <w:rsid w:val="00D50CD6"/>
    <w:rsid w:val="00D53831"/>
    <w:rsid w:val="00D56C1F"/>
    <w:rsid w:val="00D65500"/>
    <w:rsid w:val="00D72EEB"/>
    <w:rsid w:val="00DA1A53"/>
    <w:rsid w:val="00DA5130"/>
    <w:rsid w:val="00DB00E1"/>
    <w:rsid w:val="00DB2F7D"/>
    <w:rsid w:val="00DE6365"/>
    <w:rsid w:val="00DF3E04"/>
    <w:rsid w:val="00E3323C"/>
    <w:rsid w:val="00E338BF"/>
    <w:rsid w:val="00E4588E"/>
    <w:rsid w:val="00E50744"/>
    <w:rsid w:val="00E56B71"/>
    <w:rsid w:val="00E91A29"/>
    <w:rsid w:val="00E94B64"/>
    <w:rsid w:val="00E9542A"/>
    <w:rsid w:val="00EC320E"/>
    <w:rsid w:val="00EC4AE8"/>
    <w:rsid w:val="00EC7FA3"/>
    <w:rsid w:val="00F00307"/>
    <w:rsid w:val="00F037A7"/>
    <w:rsid w:val="00F13CD9"/>
    <w:rsid w:val="00F26A3E"/>
    <w:rsid w:val="00F3606D"/>
    <w:rsid w:val="00F37AD2"/>
    <w:rsid w:val="00F43126"/>
    <w:rsid w:val="00F61413"/>
    <w:rsid w:val="00F71986"/>
    <w:rsid w:val="00F77980"/>
    <w:rsid w:val="00F91DD6"/>
    <w:rsid w:val="00FD6382"/>
    <w:rsid w:val="00FD7D2D"/>
    <w:rsid w:val="00FE49FC"/>
    <w:rsid w:val="06F67861"/>
    <w:rsid w:val="08E26B9F"/>
    <w:rsid w:val="097D0913"/>
    <w:rsid w:val="0A410BAB"/>
    <w:rsid w:val="0E142C07"/>
    <w:rsid w:val="0E622A6F"/>
    <w:rsid w:val="116E2B13"/>
    <w:rsid w:val="11FF4E71"/>
    <w:rsid w:val="1302157F"/>
    <w:rsid w:val="13844F27"/>
    <w:rsid w:val="17092996"/>
    <w:rsid w:val="185D1B19"/>
    <w:rsid w:val="1A517510"/>
    <w:rsid w:val="1C9176B6"/>
    <w:rsid w:val="1D5C5F16"/>
    <w:rsid w:val="1E937715"/>
    <w:rsid w:val="1F424FB8"/>
    <w:rsid w:val="20AA51EA"/>
    <w:rsid w:val="21154D5A"/>
    <w:rsid w:val="21FC3824"/>
    <w:rsid w:val="23506562"/>
    <w:rsid w:val="238A1761"/>
    <w:rsid w:val="2A6E418D"/>
    <w:rsid w:val="2E771618"/>
    <w:rsid w:val="2EF3245F"/>
    <w:rsid w:val="342253CA"/>
    <w:rsid w:val="358A1EAF"/>
    <w:rsid w:val="37B26A07"/>
    <w:rsid w:val="388C36FB"/>
    <w:rsid w:val="3BFA2A2B"/>
    <w:rsid w:val="3C063D18"/>
    <w:rsid w:val="3D2679A4"/>
    <w:rsid w:val="40D12AD2"/>
    <w:rsid w:val="411617A1"/>
    <w:rsid w:val="4B0361A1"/>
    <w:rsid w:val="4C8449BE"/>
    <w:rsid w:val="4CDE576E"/>
    <w:rsid w:val="4DF27705"/>
    <w:rsid w:val="4E8D6CB7"/>
    <w:rsid w:val="538A544F"/>
    <w:rsid w:val="54CD37EE"/>
    <w:rsid w:val="551771B9"/>
    <w:rsid w:val="5A5E4C4F"/>
    <w:rsid w:val="5C2E75D1"/>
    <w:rsid w:val="5FA23859"/>
    <w:rsid w:val="606E3563"/>
    <w:rsid w:val="616C2131"/>
    <w:rsid w:val="61C251E9"/>
    <w:rsid w:val="63696971"/>
    <w:rsid w:val="63803BDA"/>
    <w:rsid w:val="639366ED"/>
    <w:rsid w:val="64942E6C"/>
    <w:rsid w:val="6A48158E"/>
    <w:rsid w:val="6C904861"/>
    <w:rsid w:val="6C957FD2"/>
    <w:rsid w:val="6D643238"/>
    <w:rsid w:val="712437CA"/>
    <w:rsid w:val="724539F8"/>
    <w:rsid w:val="73E336E5"/>
    <w:rsid w:val="75786C9F"/>
    <w:rsid w:val="77F65336"/>
    <w:rsid w:val="7A7E3F4B"/>
    <w:rsid w:val="7B193C74"/>
    <w:rsid w:val="7C09018C"/>
    <w:rsid w:val="7DBA52B0"/>
    <w:rsid w:val="7DEE7639"/>
    <w:rsid w:val="7ED53640"/>
    <w:rsid w:val="7FA60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Indent"/>
    <w:basedOn w:val="1"/>
    <w:unhideWhenUsed/>
    <w:qFormat/>
    <w:uiPriority w:val="99"/>
    <w:pPr>
      <w:spacing w:after="120"/>
      <w:ind w:left="420" w:leftChars="200"/>
    </w:pPr>
  </w:style>
  <w:style w:type="paragraph" w:styleId="4">
    <w:name w:val="Plain Text"/>
    <w:basedOn w:val="1"/>
    <w:link w:val="17"/>
    <w:autoRedefine/>
    <w:qFormat/>
    <w:uiPriority w:val="0"/>
    <w:rPr>
      <w:rFonts w:ascii="宋体" w:hAnsi="Courier New" w:cs="Courier New"/>
      <w:szCs w:val="21"/>
    </w:rPr>
  </w:style>
  <w:style w:type="paragraph" w:styleId="5">
    <w:name w:val="Date"/>
    <w:basedOn w:val="1"/>
    <w:next w:val="1"/>
    <w:link w:val="22"/>
    <w:autoRedefine/>
    <w:semiHidden/>
    <w:unhideWhenUsed/>
    <w:qFormat/>
    <w:uiPriority w:val="99"/>
    <w:pPr>
      <w:ind w:left="100" w:leftChars="2500"/>
    </w:pPr>
  </w:style>
  <w:style w:type="paragraph" w:styleId="6">
    <w:name w:val="Balloon Text"/>
    <w:basedOn w:val="1"/>
    <w:link w:val="21"/>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after="120" w:afterLines="0"/>
      <w:ind w:left="420" w:leftChars="200"/>
    </w:pPr>
    <w:rPr>
      <w:sz w:val="16"/>
      <w:szCs w:val="16"/>
    </w:rPr>
  </w:style>
  <w:style w:type="paragraph" w:styleId="10">
    <w:name w:val="Body Text First Indent 2"/>
    <w:basedOn w:val="3"/>
    <w:unhideWhenUsed/>
    <w:qFormat/>
    <w:uiPriority w:val="99"/>
    <w:pPr>
      <w:ind w:firstLine="420" w:firstLineChars="200"/>
    </w:p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autoRedefine/>
    <w:qFormat/>
    <w:uiPriority w:val="0"/>
    <w:rPr>
      <w:rFonts w:cs="Times New Roman"/>
    </w:rPr>
  </w:style>
  <w:style w:type="character" w:styleId="15">
    <w:name w:val="Hyperlink"/>
    <w:basedOn w:val="13"/>
    <w:autoRedefine/>
    <w:semiHidden/>
    <w:unhideWhenUsed/>
    <w:qFormat/>
    <w:uiPriority w:val="99"/>
    <w:rPr>
      <w:color w:val="0000FF"/>
      <w:u w:val="single"/>
    </w:rPr>
  </w:style>
  <w:style w:type="character" w:customStyle="1" w:styleId="16">
    <w:name w:val="页脚 Char"/>
    <w:basedOn w:val="13"/>
    <w:link w:val="7"/>
    <w:autoRedefine/>
    <w:qFormat/>
    <w:uiPriority w:val="99"/>
    <w:rPr>
      <w:sz w:val="18"/>
      <w:szCs w:val="18"/>
    </w:rPr>
  </w:style>
  <w:style w:type="character" w:customStyle="1" w:styleId="17">
    <w:name w:val="纯文本 Char"/>
    <w:link w:val="4"/>
    <w:autoRedefine/>
    <w:qFormat/>
    <w:uiPriority w:val="0"/>
    <w:rPr>
      <w:rFonts w:ascii="宋体" w:hAnsi="Courier New" w:eastAsia="宋体" w:cs="Courier New"/>
      <w:szCs w:val="21"/>
    </w:rPr>
  </w:style>
  <w:style w:type="character" w:customStyle="1" w:styleId="18">
    <w:name w:val="页眉 Char"/>
    <w:basedOn w:val="13"/>
    <w:link w:val="8"/>
    <w:autoRedefine/>
    <w:qFormat/>
    <w:uiPriority w:val="99"/>
    <w:rPr>
      <w:rFonts w:ascii="Calibri" w:hAnsi="Calibri" w:eastAsia="宋体"/>
      <w:sz w:val="18"/>
      <w:szCs w:val="18"/>
    </w:rPr>
  </w:style>
  <w:style w:type="character" w:customStyle="1" w:styleId="19">
    <w:name w:val="addrtitle"/>
    <w:basedOn w:val="13"/>
    <w:autoRedefine/>
    <w:qFormat/>
    <w:uiPriority w:val="0"/>
  </w:style>
  <w:style w:type="character" w:customStyle="1" w:styleId="20">
    <w:name w:val="pointer"/>
    <w:basedOn w:val="13"/>
    <w:autoRedefine/>
    <w:qFormat/>
    <w:uiPriority w:val="0"/>
  </w:style>
  <w:style w:type="character" w:customStyle="1" w:styleId="21">
    <w:name w:val="批注框文本 Char"/>
    <w:basedOn w:val="13"/>
    <w:link w:val="6"/>
    <w:autoRedefine/>
    <w:semiHidden/>
    <w:qFormat/>
    <w:uiPriority w:val="99"/>
    <w:rPr>
      <w:rFonts w:ascii="Calibri" w:hAnsi="Calibri" w:eastAsia="宋体"/>
      <w:sz w:val="18"/>
      <w:szCs w:val="18"/>
    </w:rPr>
  </w:style>
  <w:style w:type="character" w:customStyle="1" w:styleId="22">
    <w:name w:val="日期 Char"/>
    <w:basedOn w:val="13"/>
    <w:link w:val="5"/>
    <w:autoRedefine/>
    <w:semiHidden/>
    <w:qFormat/>
    <w:uiPriority w:val="99"/>
    <w:rPr>
      <w:rFonts w:ascii="Calibri" w:hAnsi="Calibri" w:eastAsia="宋体"/>
      <w:szCs w:val="24"/>
    </w:rPr>
  </w:style>
  <w:style w:type="character" w:customStyle="1" w:styleId="23">
    <w:name w:val="font31"/>
    <w:basedOn w:val="13"/>
    <w:autoRedefine/>
    <w:qFormat/>
    <w:uiPriority w:val="0"/>
    <w:rPr>
      <w:rFonts w:ascii="Arial" w:hAnsi="Arial" w:cs="Arial"/>
      <w:color w:val="000000"/>
      <w:sz w:val="22"/>
      <w:szCs w:val="22"/>
      <w:u w:val="none"/>
    </w:rPr>
  </w:style>
  <w:style w:type="paragraph" w:customStyle="1" w:styleId="24">
    <w:name w:val="1"/>
    <w:basedOn w:val="1"/>
    <w:next w:val="4"/>
    <w:autoRedefine/>
    <w:qFormat/>
    <w:uiPriority w:val="0"/>
    <w:rPr>
      <w:rFonts w:ascii="宋体" w:hAnsi="Courier New" w:eastAsiaTheme="minorEastAsia"/>
      <w:szCs w:val="20"/>
    </w:rPr>
  </w:style>
  <w:style w:type="paragraph" w:customStyle="1" w:styleId="25">
    <w:name w:val="_Style 3"/>
    <w:basedOn w:val="1"/>
    <w:next w:val="9"/>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26">
    <w:name w:val="表格文字"/>
    <w:basedOn w:val="1"/>
    <w:autoRedefine/>
    <w:qFormat/>
    <w:uiPriority w:val="0"/>
    <w:pPr>
      <w:spacing w:before="25" w:after="25"/>
      <w:jc w:val="left"/>
    </w:pPr>
    <w:rPr>
      <w:bCs/>
      <w:spacing w:val="10"/>
      <w:kern w:val="0"/>
      <w:sz w:val="24"/>
      <w:szCs w:val="20"/>
    </w:rPr>
  </w:style>
  <w:style w:type="paragraph" w:customStyle="1" w:styleId="2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Other|1"/>
    <w:basedOn w:val="1"/>
    <w:qFormat/>
    <w:uiPriority w:val="0"/>
    <w:pPr>
      <w:spacing w:before="100" w:beforeAutospacing="1" w:after="80" w:line="405" w:lineRule="auto"/>
      <w:ind w:firstLine="400"/>
    </w:pPr>
    <w:rPr>
      <w:rFonts w:ascii="宋体" w:hAnsi="宋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29CF-059B-4C45-A66B-229105F5F6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345</Words>
  <Characters>377</Characters>
  <Lines>6</Lines>
  <Paragraphs>1</Paragraphs>
  <TotalTime>0</TotalTime>
  <ScaleCrop>false</ScaleCrop>
  <LinksUpToDate>false</LinksUpToDate>
  <CharactersWithSpaces>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2020-02-27T08:12:00Z</dcterms:created>
  <dc:creator>netuser</dc:creator>
  <cp:lastModifiedBy>钟慧敏</cp:lastModifiedBy>
  <cp:lastPrinted>2023-09-07T00:58:00Z</cp:lastPrinted>
  <dcterms:modified xsi:type="dcterms:W3CDTF">2025-11-04T07:46:12Z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FEC5FC5FFEFD456FA6242B252C681B3A_12</vt:lpwstr>
  </property>
  <property fmtid="{D5CDD505-2E9C-101B-9397-08002B2CF9AE}" pid="4" name="KSOTemplateDocerSaveRecord">
    <vt:lpwstr>eyJoZGlkIjoiZTY3YWVkMGE0OGJhOTcxZTFkZDQ1M2QyZThhOWI3M2EiLCJ1c2VySWQiOiIyNDk3MDM2ODgifQ==</vt:lpwstr>
  </property>
</Properties>
</file>