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leftFromText="180" w:rightFromText="180" w:vertAnchor="text" w:tblpXSpec="left" w:tblpY="1"/>
        <w:tblOverlap w:val="never"/>
        <w:tblW w:w="4321" w:type="pct"/>
        <w:tblInd w:w="0" w:type="dxa"/>
        <w:tblLayout w:type="autofit"/>
        <w:tblCellMar>
          <w:top w:w="0" w:type="dxa"/>
          <w:left w:w="108" w:type="dxa"/>
          <w:bottom w:w="0" w:type="dxa"/>
          <w:right w:w="108" w:type="dxa"/>
        </w:tblCellMar>
      </w:tblPr>
      <w:tblGrid>
        <w:gridCol w:w="1634"/>
        <w:gridCol w:w="1557"/>
        <w:gridCol w:w="3926"/>
        <w:gridCol w:w="714"/>
      </w:tblGrid>
      <w:tr w14:paraId="220F67EC">
        <w:tblPrEx>
          <w:tblCellMar>
            <w:top w:w="0" w:type="dxa"/>
            <w:left w:w="108" w:type="dxa"/>
            <w:bottom w:w="0" w:type="dxa"/>
            <w:right w:w="108" w:type="dxa"/>
          </w:tblCellMar>
        </w:tblPrEx>
        <w:trPr>
          <w:trHeight w:val="1525" w:hRule="atLeast"/>
        </w:trPr>
        <w:tc>
          <w:tcPr>
            <w:tcW w:w="5000" w:type="pct"/>
            <w:gridSpan w:val="4"/>
            <w:tcBorders>
              <w:top w:val="nil"/>
              <w:left w:val="nil"/>
              <w:bottom w:val="nil"/>
              <w:right w:val="nil"/>
            </w:tcBorders>
            <w:vAlign w:val="center"/>
          </w:tcPr>
          <w:p w14:paraId="7DCFA58F">
            <w:pPr>
              <w:widowControl/>
              <w:spacing w:line="240" w:lineRule="auto"/>
              <w:ind w:firstLine="3120" w:firstLineChars="1300"/>
              <w:jc w:val="left"/>
              <w:rPr>
                <w:rFonts w:hint="eastAsia" w:ascii="仿宋" w:hAnsi="仿宋" w:cs="宋体"/>
                <w:color w:val="000000"/>
                <w:szCs w:val="24"/>
                <w:lang w:val="en-US" w:eastAsia="zh-CN"/>
              </w:rPr>
            </w:pPr>
            <w:r>
              <w:rPr>
                <w:rFonts w:hint="eastAsia" w:ascii="仿宋" w:hAnsi="仿宋" w:cs="宋体"/>
                <w:color w:val="000000"/>
                <w:szCs w:val="24"/>
                <w:lang w:val="en-US" w:eastAsia="zh-CN"/>
              </w:rPr>
              <w:t>功能需求</w:t>
            </w:r>
          </w:p>
          <w:p w14:paraId="593084B2">
            <w:pPr>
              <w:widowControl/>
              <w:spacing w:line="240" w:lineRule="auto"/>
              <w:ind w:firstLine="0" w:firstLineChars="0"/>
              <w:jc w:val="left"/>
              <w:rPr>
                <w:rFonts w:hint="default" w:ascii="仿宋" w:hAnsi="仿宋" w:cs="宋体"/>
                <w:color w:val="000000"/>
                <w:szCs w:val="24"/>
                <w:lang w:val="en-US" w:eastAsia="zh-CN"/>
              </w:rPr>
            </w:pPr>
            <w:r>
              <w:rPr>
                <w:rFonts w:hint="eastAsia" w:ascii="仿宋" w:hAnsi="仿宋" w:cs="宋体"/>
                <w:color w:val="000000"/>
                <w:szCs w:val="24"/>
                <w:lang w:val="en-US" w:eastAsia="zh-CN"/>
              </w:rPr>
              <w:t>1.本次项目涉及单位佛冈县人民医院，佛冈县妇幼保健院，佛冈县中医院，佛冈县慢性病医院及11家基层卫生院。</w:t>
            </w:r>
          </w:p>
        </w:tc>
      </w:tr>
      <w:tr w14:paraId="0CCDA4FB">
        <w:tblPrEx>
          <w:tblCellMar>
            <w:top w:w="0" w:type="dxa"/>
            <w:left w:w="108" w:type="dxa"/>
            <w:bottom w:w="0" w:type="dxa"/>
            <w:right w:w="108" w:type="dxa"/>
          </w:tblCellMar>
        </w:tblPrEx>
        <w:trPr>
          <w:trHeight w:val="1525" w:hRule="atLeast"/>
        </w:trPr>
        <w:tc>
          <w:tcPr>
            <w:tcW w:w="1043" w:type="pct"/>
            <w:tcBorders>
              <w:top w:val="single" w:color="auto" w:sz="4" w:space="0"/>
              <w:left w:val="single" w:color="auto" w:sz="4" w:space="0"/>
              <w:bottom w:val="single" w:color="auto" w:sz="4" w:space="0"/>
              <w:right w:val="single" w:color="auto" w:sz="4" w:space="0"/>
            </w:tcBorders>
            <w:vAlign w:val="center"/>
          </w:tcPr>
          <w:p w14:paraId="6F955F8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序号</w:t>
            </w:r>
          </w:p>
        </w:tc>
        <w:tc>
          <w:tcPr>
            <w:tcW w:w="994" w:type="pct"/>
            <w:tcBorders>
              <w:top w:val="single" w:color="auto" w:sz="4" w:space="0"/>
              <w:left w:val="nil"/>
              <w:bottom w:val="single" w:color="auto" w:sz="4" w:space="0"/>
              <w:right w:val="single" w:color="auto" w:sz="4" w:space="0"/>
            </w:tcBorders>
            <w:vAlign w:val="center"/>
          </w:tcPr>
          <w:p w14:paraId="787668A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功能需求</w:t>
            </w:r>
          </w:p>
        </w:tc>
        <w:tc>
          <w:tcPr>
            <w:tcW w:w="2506" w:type="pct"/>
            <w:tcBorders>
              <w:top w:val="single" w:color="auto" w:sz="4" w:space="0"/>
              <w:left w:val="nil"/>
              <w:bottom w:val="single" w:color="auto" w:sz="4" w:space="0"/>
              <w:right w:val="single" w:color="auto" w:sz="4" w:space="0"/>
            </w:tcBorders>
            <w:vAlign w:val="center"/>
          </w:tcPr>
          <w:p w14:paraId="3CB64AA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功能需求描述</w:t>
            </w:r>
          </w:p>
        </w:tc>
        <w:tc>
          <w:tcPr>
            <w:tcW w:w="455" w:type="pct"/>
            <w:tcBorders>
              <w:top w:val="single" w:color="auto" w:sz="4" w:space="0"/>
              <w:left w:val="nil"/>
              <w:bottom w:val="single" w:color="auto" w:sz="4" w:space="0"/>
              <w:right w:val="single" w:color="auto" w:sz="4" w:space="0"/>
            </w:tcBorders>
            <w:vAlign w:val="center"/>
          </w:tcPr>
          <w:p w14:paraId="4B636454">
            <w:pPr>
              <w:widowControl/>
              <w:spacing w:line="240" w:lineRule="auto"/>
              <w:ind w:firstLine="0" w:firstLineChars="0"/>
              <w:jc w:val="left"/>
              <w:rPr>
                <w:rFonts w:hint="eastAsia" w:ascii="仿宋" w:hAnsi="仿宋" w:cs="宋体"/>
                <w:color w:val="000000"/>
                <w:szCs w:val="24"/>
                <w:lang w:val="en-US" w:eastAsia="zh-CN"/>
              </w:rPr>
            </w:pPr>
            <w:r>
              <w:rPr>
                <w:rFonts w:hint="eastAsia" w:ascii="仿宋" w:hAnsi="仿宋" w:cs="宋体"/>
                <w:color w:val="000000"/>
                <w:szCs w:val="24"/>
                <w:lang w:val="en-US" w:eastAsia="zh-CN"/>
              </w:rPr>
              <w:t>备注</w:t>
            </w:r>
          </w:p>
        </w:tc>
      </w:tr>
      <w:tr w14:paraId="60AA0C58">
        <w:tblPrEx>
          <w:tblCellMar>
            <w:top w:w="0" w:type="dxa"/>
            <w:left w:w="108" w:type="dxa"/>
            <w:bottom w:w="0" w:type="dxa"/>
            <w:right w:w="108" w:type="dxa"/>
          </w:tblCellMar>
        </w:tblPrEx>
        <w:tc>
          <w:tcPr>
            <w:tcW w:w="4544" w:type="pct"/>
            <w:gridSpan w:val="3"/>
            <w:tcBorders>
              <w:top w:val="single" w:color="auto" w:sz="4" w:space="0"/>
              <w:left w:val="single" w:color="auto" w:sz="4" w:space="0"/>
              <w:bottom w:val="single" w:color="auto" w:sz="4" w:space="0"/>
              <w:right w:val="single" w:color="auto" w:sz="4" w:space="0"/>
            </w:tcBorders>
            <w:noWrap/>
            <w:vAlign w:val="center"/>
          </w:tcPr>
          <w:p w14:paraId="44127DB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1.1区域合理用药管理系统与区域前置审方中心</w:t>
            </w:r>
          </w:p>
        </w:tc>
        <w:tc>
          <w:tcPr>
            <w:tcW w:w="455" w:type="pct"/>
            <w:tcBorders>
              <w:top w:val="single" w:color="auto" w:sz="4" w:space="0"/>
              <w:left w:val="single" w:color="auto" w:sz="4" w:space="0"/>
              <w:bottom w:val="single" w:color="auto" w:sz="4" w:space="0"/>
              <w:right w:val="single" w:color="auto" w:sz="4" w:space="0"/>
            </w:tcBorders>
            <w:noWrap/>
            <w:vAlign w:val="center"/>
          </w:tcPr>
          <w:p w14:paraId="26EF3FC8">
            <w:pPr>
              <w:widowControl/>
              <w:spacing w:line="240" w:lineRule="auto"/>
              <w:ind w:firstLine="0" w:firstLineChars="0"/>
              <w:jc w:val="left"/>
              <w:rPr>
                <w:rFonts w:hint="eastAsia" w:ascii="仿宋" w:hAnsi="仿宋" w:cs="宋体"/>
                <w:color w:val="000000"/>
                <w:szCs w:val="24"/>
              </w:rPr>
            </w:pPr>
          </w:p>
        </w:tc>
      </w:tr>
      <w:tr w14:paraId="115E6E9F">
        <w:tblPrEx>
          <w:tblCellMar>
            <w:top w:w="0" w:type="dxa"/>
            <w:left w:w="108" w:type="dxa"/>
            <w:bottom w:w="0" w:type="dxa"/>
            <w:right w:w="108" w:type="dxa"/>
          </w:tblCellMar>
        </w:tblPrEx>
        <w:tc>
          <w:tcPr>
            <w:tcW w:w="4544" w:type="pct"/>
            <w:gridSpan w:val="3"/>
            <w:tcBorders>
              <w:top w:val="single" w:color="auto" w:sz="4" w:space="0"/>
              <w:left w:val="single" w:color="auto" w:sz="4" w:space="0"/>
              <w:bottom w:val="single" w:color="auto" w:sz="4" w:space="0"/>
              <w:right w:val="single" w:color="auto" w:sz="4" w:space="0"/>
            </w:tcBorders>
            <w:noWrap/>
            <w:vAlign w:val="center"/>
          </w:tcPr>
          <w:p w14:paraId="45D6371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1.1.1区域合理用药知识库</w:t>
            </w:r>
          </w:p>
        </w:tc>
        <w:tc>
          <w:tcPr>
            <w:tcW w:w="455" w:type="pct"/>
            <w:tcBorders>
              <w:top w:val="single" w:color="auto" w:sz="4" w:space="0"/>
              <w:left w:val="single" w:color="auto" w:sz="4" w:space="0"/>
              <w:bottom w:val="single" w:color="auto" w:sz="4" w:space="0"/>
              <w:right w:val="single" w:color="auto" w:sz="4" w:space="0"/>
            </w:tcBorders>
            <w:noWrap/>
            <w:vAlign w:val="center"/>
          </w:tcPr>
          <w:p w14:paraId="0650601B">
            <w:pPr>
              <w:widowControl/>
              <w:spacing w:line="240" w:lineRule="auto"/>
              <w:ind w:firstLine="0" w:firstLineChars="0"/>
              <w:jc w:val="left"/>
              <w:rPr>
                <w:rFonts w:hint="eastAsia" w:ascii="仿宋" w:hAnsi="仿宋" w:cs="宋体"/>
                <w:color w:val="000000"/>
                <w:szCs w:val="24"/>
              </w:rPr>
            </w:pPr>
          </w:p>
        </w:tc>
      </w:tr>
      <w:tr w14:paraId="76806657">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9B6442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1.1.1.1</w:t>
            </w:r>
          </w:p>
        </w:tc>
        <w:tc>
          <w:tcPr>
            <w:tcW w:w="994" w:type="pct"/>
            <w:tcBorders>
              <w:top w:val="nil"/>
              <w:left w:val="nil"/>
              <w:bottom w:val="single" w:color="auto" w:sz="4" w:space="0"/>
              <w:right w:val="single" w:color="auto" w:sz="4" w:space="0"/>
            </w:tcBorders>
            <w:vAlign w:val="center"/>
          </w:tcPr>
          <w:p w14:paraId="4061D520">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说明书查看</w:t>
            </w:r>
          </w:p>
        </w:tc>
        <w:tc>
          <w:tcPr>
            <w:tcW w:w="2506" w:type="pct"/>
            <w:tcBorders>
              <w:top w:val="nil"/>
              <w:left w:val="nil"/>
              <w:bottom w:val="single" w:color="auto" w:sz="4" w:space="0"/>
              <w:right w:val="single" w:color="auto" w:sz="4" w:space="0"/>
            </w:tcBorders>
            <w:vAlign w:val="center"/>
          </w:tcPr>
          <w:p w14:paraId="043A0C9D">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可查看各厂家已上市药品的完整说明书；优先展示用户自定义添加的药品说明书。</w:t>
            </w:r>
          </w:p>
        </w:tc>
        <w:tc>
          <w:tcPr>
            <w:tcW w:w="455" w:type="pct"/>
            <w:tcBorders>
              <w:top w:val="nil"/>
              <w:left w:val="nil"/>
              <w:bottom w:val="single" w:color="auto" w:sz="4" w:space="0"/>
              <w:right w:val="single" w:color="auto" w:sz="4" w:space="0"/>
            </w:tcBorders>
            <w:vAlign w:val="center"/>
          </w:tcPr>
          <w:p w14:paraId="42028A4C">
            <w:pPr>
              <w:widowControl/>
              <w:spacing w:line="240" w:lineRule="auto"/>
              <w:ind w:firstLine="0" w:firstLineChars="0"/>
              <w:jc w:val="center"/>
              <w:rPr>
                <w:rFonts w:hint="eastAsia" w:ascii="仿宋" w:hAnsi="仿宋" w:cs="宋体"/>
                <w:color w:val="000000"/>
                <w:szCs w:val="24"/>
              </w:rPr>
            </w:pPr>
          </w:p>
        </w:tc>
      </w:tr>
      <w:tr w14:paraId="0F5F876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6E3048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1.1.1.2</w:t>
            </w:r>
          </w:p>
        </w:tc>
        <w:tc>
          <w:tcPr>
            <w:tcW w:w="994" w:type="pct"/>
            <w:tcBorders>
              <w:top w:val="nil"/>
              <w:left w:val="nil"/>
              <w:bottom w:val="single" w:color="auto" w:sz="4" w:space="0"/>
              <w:right w:val="single" w:color="auto" w:sz="4" w:space="0"/>
            </w:tcBorders>
            <w:vAlign w:val="center"/>
          </w:tcPr>
          <w:p w14:paraId="3E327342">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药物手册</w:t>
            </w:r>
          </w:p>
        </w:tc>
        <w:tc>
          <w:tcPr>
            <w:tcW w:w="2506" w:type="pct"/>
            <w:tcBorders>
              <w:top w:val="nil"/>
              <w:left w:val="nil"/>
              <w:bottom w:val="single" w:color="auto" w:sz="4" w:space="0"/>
              <w:right w:val="single" w:color="auto" w:sz="4" w:space="0"/>
            </w:tcBorders>
            <w:vAlign w:val="center"/>
          </w:tcPr>
          <w:p w14:paraId="307C833E">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支持通过提取说明书提纲中内容的方式将说明书生成药品的药物手册；</w:t>
            </w:r>
          </w:p>
          <w:p w14:paraId="33C3BA51">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支持药物手册的查看和批量导出操作。</w:t>
            </w:r>
          </w:p>
        </w:tc>
        <w:tc>
          <w:tcPr>
            <w:tcW w:w="455" w:type="pct"/>
            <w:tcBorders>
              <w:top w:val="nil"/>
              <w:left w:val="nil"/>
              <w:bottom w:val="single" w:color="auto" w:sz="4" w:space="0"/>
              <w:right w:val="single" w:color="auto" w:sz="4" w:space="0"/>
            </w:tcBorders>
            <w:vAlign w:val="center"/>
          </w:tcPr>
          <w:p w14:paraId="76CF7244">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F15A17A">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EDB29A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1.1.1.3</w:t>
            </w:r>
          </w:p>
        </w:tc>
        <w:tc>
          <w:tcPr>
            <w:tcW w:w="994" w:type="pct"/>
            <w:tcBorders>
              <w:top w:val="nil"/>
              <w:left w:val="nil"/>
              <w:bottom w:val="single" w:color="auto" w:sz="4" w:space="0"/>
              <w:right w:val="single" w:color="auto" w:sz="4" w:space="0"/>
            </w:tcBorders>
            <w:vAlign w:val="center"/>
          </w:tcPr>
          <w:p w14:paraId="18D9C955">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医药学公式</w:t>
            </w:r>
          </w:p>
        </w:tc>
        <w:tc>
          <w:tcPr>
            <w:tcW w:w="2506" w:type="pct"/>
            <w:tcBorders>
              <w:top w:val="nil"/>
              <w:left w:val="nil"/>
              <w:bottom w:val="single" w:color="auto" w:sz="4" w:space="0"/>
              <w:right w:val="single" w:color="auto" w:sz="4" w:space="0"/>
            </w:tcBorders>
            <w:vAlign w:val="center"/>
          </w:tcPr>
          <w:p w14:paraId="760D774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提供“通用公式、心血管系统、呼吸系统、泌尿系统、内分泌系统、血液系统、肿瘤与应用、儿科学、神经系统、妇产科学”等10类医学相关计算公式的应用计算。</w:t>
            </w:r>
          </w:p>
        </w:tc>
        <w:tc>
          <w:tcPr>
            <w:tcW w:w="455" w:type="pct"/>
            <w:tcBorders>
              <w:top w:val="nil"/>
              <w:left w:val="nil"/>
              <w:bottom w:val="single" w:color="auto" w:sz="4" w:space="0"/>
              <w:right w:val="single" w:color="auto" w:sz="4" w:space="0"/>
            </w:tcBorders>
            <w:vAlign w:val="center"/>
          </w:tcPr>
          <w:p w14:paraId="7DA6B25D">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1442991B">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BE0C3B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1.1.1.4</w:t>
            </w:r>
          </w:p>
        </w:tc>
        <w:tc>
          <w:tcPr>
            <w:tcW w:w="994" w:type="pct"/>
            <w:tcBorders>
              <w:top w:val="nil"/>
              <w:left w:val="nil"/>
              <w:bottom w:val="single" w:color="auto" w:sz="4" w:space="0"/>
              <w:right w:val="single" w:color="auto" w:sz="4" w:space="0"/>
            </w:tcBorders>
            <w:vAlign w:val="center"/>
          </w:tcPr>
          <w:p w14:paraId="78C17A87">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医药资料与信息</w:t>
            </w:r>
          </w:p>
        </w:tc>
        <w:tc>
          <w:tcPr>
            <w:tcW w:w="2506" w:type="pct"/>
            <w:tcBorders>
              <w:top w:val="nil"/>
              <w:left w:val="nil"/>
              <w:bottom w:val="single" w:color="auto" w:sz="4" w:space="0"/>
              <w:right w:val="single" w:color="auto" w:sz="4" w:space="0"/>
            </w:tcBorders>
            <w:vAlign w:val="center"/>
          </w:tcPr>
          <w:p w14:paraId="318683A8">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 xml:space="preserve">可查询《国家基本药物处方集（2018版）》、《中华人民共和国药典(2020年版)》、《中华人民共和国药典临床用药须知（2020年版）》、《新编药物学（18版）》、《浙江省中药炮制规范（2015版）》、《北京市中药饮片炮制规范(2008年版)》、《中国国家处方集（2020版）》、《国家基本药物临床应用指南（2018版）》、《临床注射药物应用指南(2014版)》、《超药品说明书用药目录（广东药学会2025年版）》、《超药品说明书用药目录（广东药学会2024年版）》、《超药品说明书用药目录（儿科2025年版）》、《临床重症与药学超说明书用药专家共识(2025年版)》等书籍摘抄； </w:t>
            </w:r>
          </w:p>
          <w:p w14:paraId="10758C31">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可查询国家药品监督管理局发布的药品警戒快讯、说明书修订公告、药品不良反应信息通报；</w:t>
            </w:r>
          </w:p>
          <w:p w14:paraId="088FE435">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可查询国家卫健委和药品监督管理局发布的通知公告和法律法规。 支持用户自定义维护文献、杂志，参考文献等内容；自定义相关资料内容均支持自主查询；</w:t>
            </w:r>
          </w:p>
        </w:tc>
        <w:tc>
          <w:tcPr>
            <w:tcW w:w="455" w:type="pct"/>
            <w:tcBorders>
              <w:top w:val="nil"/>
              <w:left w:val="nil"/>
              <w:bottom w:val="single" w:color="auto" w:sz="4" w:space="0"/>
              <w:right w:val="single" w:color="auto" w:sz="4" w:space="0"/>
            </w:tcBorders>
            <w:vAlign w:val="center"/>
          </w:tcPr>
          <w:p w14:paraId="133285C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31A5D61">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9F85FA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1.1.1.5</w:t>
            </w:r>
          </w:p>
        </w:tc>
        <w:tc>
          <w:tcPr>
            <w:tcW w:w="994" w:type="pct"/>
            <w:tcBorders>
              <w:top w:val="nil"/>
              <w:left w:val="nil"/>
              <w:bottom w:val="single" w:color="auto" w:sz="4" w:space="0"/>
              <w:right w:val="single" w:color="auto" w:sz="4" w:space="0"/>
            </w:tcBorders>
            <w:vAlign w:val="center"/>
          </w:tcPr>
          <w:p w14:paraId="287B3289">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系统提供的规则库</w:t>
            </w:r>
          </w:p>
        </w:tc>
        <w:tc>
          <w:tcPr>
            <w:tcW w:w="2506" w:type="pct"/>
            <w:tcBorders>
              <w:top w:val="nil"/>
              <w:left w:val="nil"/>
              <w:bottom w:val="single" w:color="auto" w:sz="4" w:space="0"/>
              <w:right w:val="single" w:color="auto" w:sz="4" w:space="0"/>
            </w:tcBorders>
            <w:vAlign w:val="center"/>
          </w:tcPr>
          <w:p w14:paraId="194E7E9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系统提供1套药品说明书规则集，及3套来源于三甲医院临床应用规则集供用户进行参考、复制、引用操作，知识库规则内容可视可验证。说明书规则集源于药品说明书标准维护，规则经过数百家医疗机构多年实践验证、累计优化；规则库覆盖用户全部药品及其它已上市药品的各项合理性审查内容；同时支持不同的问题审查结果，进行警示级别的区分；说明书规则集中的规则内容会根据说明书的修订进行新增、修改；</w:t>
            </w:r>
          </w:p>
        </w:tc>
        <w:tc>
          <w:tcPr>
            <w:tcW w:w="455" w:type="pct"/>
            <w:tcBorders>
              <w:top w:val="nil"/>
              <w:left w:val="nil"/>
              <w:bottom w:val="single" w:color="auto" w:sz="4" w:space="0"/>
              <w:right w:val="single" w:color="auto" w:sz="4" w:space="0"/>
            </w:tcBorders>
            <w:vAlign w:val="center"/>
          </w:tcPr>
          <w:p w14:paraId="735A87D8">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9BC6427">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57D527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1.1.1.6</w:t>
            </w:r>
          </w:p>
        </w:tc>
        <w:tc>
          <w:tcPr>
            <w:tcW w:w="994" w:type="pct"/>
            <w:tcBorders>
              <w:top w:val="nil"/>
              <w:left w:val="single" w:color="auto" w:sz="4" w:space="0"/>
              <w:bottom w:val="single" w:color="auto" w:sz="4" w:space="0"/>
              <w:right w:val="single" w:color="auto" w:sz="4" w:space="0"/>
            </w:tcBorders>
            <w:vAlign w:val="center"/>
          </w:tcPr>
          <w:p w14:paraId="43D08ACC">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规则库的更新引导</w:t>
            </w:r>
          </w:p>
        </w:tc>
        <w:tc>
          <w:tcPr>
            <w:tcW w:w="2506" w:type="pct"/>
            <w:tcBorders>
              <w:top w:val="nil"/>
              <w:left w:val="nil"/>
              <w:bottom w:val="single" w:color="auto" w:sz="4" w:space="0"/>
              <w:right w:val="single" w:color="auto" w:sz="4" w:space="0"/>
            </w:tcBorders>
            <w:vAlign w:val="center"/>
          </w:tcPr>
          <w:p w14:paraId="32699478">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当用户系统知识包更新后，系统可根据用户使用规则的引用情况对更新的内容做出更新提醒，用户可根据自身业务需求对更新的规则进行全部更新、部分更新、或不更新操作；</w:t>
            </w:r>
            <w:r>
              <w:rPr>
                <w:rFonts w:ascii="仿宋" w:hAnsi="仿宋"/>
                <w:color w:val="000000"/>
                <w:szCs w:val="24"/>
              </w:rPr>
              <w:br w:type="textWrapping"/>
            </w:r>
            <w:r>
              <w:rPr>
                <w:rFonts w:hint="eastAsia" w:ascii="仿宋" w:hAnsi="仿宋"/>
                <w:color w:val="000000"/>
                <w:szCs w:val="24"/>
              </w:rPr>
              <w:t>当用户系统知识包更新后，系统可根据用户药品比对情况对新增的规则内容做出新增提醒，用户可根据自身业务需求对新增的规则进行全部更新、部分更新、或不更新操作。</w:t>
            </w:r>
          </w:p>
        </w:tc>
        <w:tc>
          <w:tcPr>
            <w:tcW w:w="455" w:type="pct"/>
            <w:tcBorders>
              <w:top w:val="nil"/>
              <w:left w:val="nil"/>
              <w:bottom w:val="single" w:color="auto" w:sz="4" w:space="0"/>
              <w:right w:val="single" w:color="auto" w:sz="4" w:space="0"/>
            </w:tcBorders>
            <w:vAlign w:val="center"/>
          </w:tcPr>
          <w:p w14:paraId="177189B3">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1272844">
        <w:tblPrEx>
          <w:tblCellMar>
            <w:top w:w="0" w:type="dxa"/>
            <w:left w:w="108" w:type="dxa"/>
            <w:bottom w:w="0" w:type="dxa"/>
            <w:right w:w="108" w:type="dxa"/>
          </w:tblCellMar>
        </w:tblPrEx>
        <w:tc>
          <w:tcPr>
            <w:tcW w:w="5000" w:type="pct"/>
            <w:gridSpan w:val="4"/>
            <w:tcBorders>
              <w:top w:val="nil"/>
              <w:left w:val="single" w:color="auto" w:sz="4" w:space="0"/>
              <w:bottom w:val="single" w:color="auto" w:sz="4" w:space="0"/>
              <w:right w:val="single" w:color="auto" w:sz="4" w:space="0"/>
            </w:tcBorders>
            <w:vAlign w:val="center"/>
          </w:tcPr>
          <w:p w14:paraId="4B5B1AF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1.1.2区域合理用药审查功能</w:t>
            </w:r>
          </w:p>
        </w:tc>
      </w:tr>
      <w:tr w14:paraId="4C825179">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6406FB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w:t>
            </w:r>
          </w:p>
        </w:tc>
        <w:tc>
          <w:tcPr>
            <w:tcW w:w="994" w:type="pct"/>
            <w:tcBorders>
              <w:top w:val="nil"/>
              <w:left w:val="single" w:color="auto" w:sz="4" w:space="0"/>
              <w:bottom w:val="single" w:color="auto" w:sz="4" w:space="0"/>
              <w:right w:val="single" w:color="auto" w:sz="4" w:space="0"/>
            </w:tcBorders>
            <w:vAlign w:val="center"/>
          </w:tcPr>
          <w:p w14:paraId="010A0C4F">
            <w:pPr>
              <w:widowControl/>
              <w:spacing w:line="240" w:lineRule="auto"/>
              <w:ind w:firstLine="0" w:firstLineChars="0"/>
              <w:jc w:val="left"/>
              <w:rPr>
                <w:rFonts w:hint="eastAsia" w:ascii="仿宋" w:hAnsi="仿宋"/>
                <w:color w:val="000000"/>
                <w:szCs w:val="24"/>
              </w:rPr>
            </w:pPr>
            <w:r>
              <w:rPr>
                <w:rFonts w:ascii="仿宋" w:hAnsi="仿宋"/>
                <w:color w:val="000000"/>
                <w:szCs w:val="24"/>
              </w:rPr>
              <w:t>审查问题的严重程度管理功能</w:t>
            </w:r>
          </w:p>
        </w:tc>
        <w:tc>
          <w:tcPr>
            <w:tcW w:w="2506" w:type="pct"/>
            <w:tcBorders>
              <w:top w:val="nil"/>
              <w:left w:val="nil"/>
              <w:bottom w:val="single" w:color="auto" w:sz="4" w:space="0"/>
              <w:right w:val="single" w:color="auto" w:sz="4" w:space="0"/>
            </w:tcBorders>
          </w:tcPr>
          <w:p w14:paraId="7986EF50">
            <w:pPr>
              <w:spacing w:line="240" w:lineRule="auto"/>
              <w:ind w:firstLine="24" w:firstLineChars="10"/>
              <w:jc w:val="left"/>
              <w:rPr>
                <w:rFonts w:hint="eastAsia" w:ascii="仿宋" w:hAnsi="仿宋"/>
                <w:color w:val="000000"/>
                <w:szCs w:val="24"/>
              </w:rPr>
            </w:pPr>
            <w:r>
              <w:rPr>
                <w:rFonts w:ascii="仿宋" w:hAnsi="仿宋"/>
                <w:color w:val="000000"/>
                <w:szCs w:val="24"/>
              </w:rPr>
              <w:t>通过采用警示级别的设置，实现按严重程度对审查出的不合理问题进行区分：</w:t>
            </w:r>
          </w:p>
          <w:p w14:paraId="4897CE3E">
            <w:pPr>
              <w:numPr>
                <w:numId w:val="0"/>
              </w:numPr>
              <w:spacing w:line="240" w:lineRule="auto"/>
              <w:ind w:leftChars="10"/>
              <w:jc w:val="left"/>
              <w:rPr>
                <w:rFonts w:hint="eastAsia" w:ascii="仿宋" w:hAnsi="仿宋"/>
                <w:color w:val="000000"/>
                <w:szCs w:val="24"/>
              </w:rPr>
            </w:pPr>
            <w:r>
              <w:rPr>
                <w:rFonts w:ascii="仿宋" w:hAnsi="仿宋"/>
                <w:color w:val="000000"/>
                <w:szCs w:val="24"/>
              </w:rPr>
              <w:t>5级：绝对禁忌或致死性危害；</w:t>
            </w:r>
          </w:p>
          <w:p w14:paraId="02D00169">
            <w:pPr>
              <w:numPr>
                <w:numId w:val="0"/>
              </w:numPr>
              <w:spacing w:line="240" w:lineRule="auto"/>
              <w:ind w:leftChars="10"/>
              <w:jc w:val="left"/>
              <w:rPr>
                <w:rFonts w:hint="eastAsia" w:ascii="仿宋" w:hAnsi="仿宋"/>
                <w:color w:val="000000"/>
                <w:szCs w:val="24"/>
              </w:rPr>
            </w:pPr>
            <w:r>
              <w:rPr>
                <w:rFonts w:ascii="仿宋" w:hAnsi="仿宋"/>
                <w:color w:val="000000"/>
                <w:szCs w:val="24"/>
              </w:rPr>
              <w:t>4级：相对禁忌或非致死性的严重危害；</w:t>
            </w:r>
          </w:p>
          <w:p w14:paraId="00D2C74E">
            <w:pPr>
              <w:numPr>
                <w:numId w:val="0"/>
              </w:numPr>
              <w:spacing w:line="240" w:lineRule="auto"/>
              <w:ind w:leftChars="10"/>
              <w:jc w:val="left"/>
              <w:rPr>
                <w:rFonts w:hint="eastAsia" w:ascii="仿宋" w:hAnsi="仿宋"/>
                <w:color w:val="000000"/>
                <w:szCs w:val="24"/>
              </w:rPr>
            </w:pPr>
            <w:r>
              <w:rPr>
                <w:rFonts w:ascii="仿宋" w:hAnsi="仿宋"/>
                <w:color w:val="000000"/>
                <w:szCs w:val="24"/>
              </w:rPr>
              <w:t>3级：轻度危害或提示类的信息。</w:t>
            </w:r>
          </w:p>
        </w:tc>
        <w:tc>
          <w:tcPr>
            <w:tcW w:w="455" w:type="pct"/>
            <w:tcBorders>
              <w:top w:val="nil"/>
              <w:left w:val="nil"/>
              <w:bottom w:val="single" w:color="auto" w:sz="4" w:space="0"/>
              <w:right w:val="single" w:color="auto" w:sz="4" w:space="0"/>
            </w:tcBorders>
            <w:vAlign w:val="center"/>
          </w:tcPr>
          <w:p w14:paraId="3134AA9F">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299C696">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E7C731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1.1.2.2</w:t>
            </w:r>
          </w:p>
        </w:tc>
        <w:tc>
          <w:tcPr>
            <w:tcW w:w="994" w:type="pct"/>
            <w:tcBorders>
              <w:top w:val="nil"/>
              <w:left w:val="single" w:color="auto" w:sz="4" w:space="0"/>
              <w:bottom w:val="single" w:color="auto" w:sz="4" w:space="0"/>
              <w:right w:val="single" w:color="auto" w:sz="4" w:space="0"/>
            </w:tcBorders>
            <w:vAlign w:val="center"/>
          </w:tcPr>
          <w:p w14:paraId="47586A09">
            <w:pPr>
              <w:widowControl/>
              <w:spacing w:line="240" w:lineRule="auto"/>
              <w:ind w:firstLine="0" w:firstLineChars="0"/>
              <w:jc w:val="left"/>
              <w:rPr>
                <w:rFonts w:hint="eastAsia" w:ascii="仿宋" w:hAnsi="仿宋"/>
                <w:color w:val="000000"/>
                <w:szCs w:val="24"/>
              </w:rPr>
            </w:pPr>
            <w:r>
              <w:rPr>
                <w:rFonts w:ascii="仿宋" w:hAnsi="仿宋"/>
                <w:color w:val="000000"/>
                <w:szCs w:val="24"/>
              </w:rPr>
              <w:t>审查问题的问题类型管理功能</w:t>
            </w:r>
          </w:p>
        </w:tc>
        <w:tc>
          <w:tcPr>
            <w:tcW w:w="2506" w:type="pct"/>
            <w:tcBorders>
              <w:top w:val="nil"/>
              <w:left w:val="nil"/>
              <w:bottom w:val="single" w:color="auto" w:sz="4" w:space="0"/>
              <w:right w:val="single" w:color="auto" w:sz="4" w:space="0"/>
            </w:tcBorders>
          </w:tcPr>
          <w:p w14:paraId="25E8C0F3">
            <w:pPr>
              <w:widowControl/>
              <w:spacing w:line="240" w:lineRule="auto"/>
              <w:ind w:firstLine="24" w:firstLineChars="10"/>
              <w:jc w:val="left"/>
              <w:rPr>
                <w:rFonts w:hint="eastAsia" w:ascii="仿宋" w:hAnsi="仿宋"/>
                <w:color w:val="000000"/>
                <w:szCs w:val="24"/>
              </w:rPr>
            </w:pPr>
            <w:r>
              <w:rPr>
                <w:rFonts w:ascii="仿宋" w:hAnsi="仿宋"/>
                <w:color w:val="000000"/>
                <w:szCs w:val="24"/>
              </w:rPr>
              <w:t>通过采用警示类型的设置，对审查出的不合理问题按照错误类型进行问题归类。支持审查的问题有“用药建议、用药提醒、管理规定、适宜性分析、规范性分析、超常性分析”等。支持自定义添加提示类型。</w:t>
            </w:r>
          </w:p>
        </w:tc>
        <w:tc>
          <w:tcPr>
            <w:tcW w:w="455" w:type="pct"/>
            <w:tcBorders>
              <w:top w:val="nil"/>
              <w:left w:val="nil"/>
              <w:bottom w:val="single" w:color="auto" w:sz="4" w:space="0"/>
              <w:right w:val="single" w:color="auto" w:sz="4" w:space="0"/>
            </w:tcBorders>
            <w:vAlign w:val="center"/>
          </w:tcPr>
          <w:p w14:paraId="6D3EF068">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F7BCD00">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064254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1.1.2.3</w:t>
            </w:r>
          </w:p>
        </w:tc>
        <w:tc>
          <w:tcPr>
            <w:tcW w:w="994" w:type="pct"/>
            <w:tcBorders>
              <w:top w:val="nil"/>
              <w:left w:val="single" w:color="auto" w:sz="4" w:space="0"/>
              <w:bottom w:val="single" w:color="auto" w:sz="4" w:space="0"/>
              <w:right w:val="single" w:color="auto" w:sz="4" w:space="0"/>
            </w:tcBorders>
            <w:vAlign w:val="center"/>
          </w:tcPr>
          <w:p w14:paraId="1CF63ABB">
            <w:pPr>
              <w:widowControl/>
              <w:spacing w:line="240" w:lineRule="auto"/>
              <w:ind w:firstLine="0" w:firstLineChars="0"/>
              <w:jc w:val="left"/>
              <w:rPr>
                <w:rFonts w:hint="eastAsia" w:ascii="仿宋" w:hAnsi="仿宋"/>
                <w:color w:val="000000"/>
                <w:szCs w:val="24"/>
              </w:rPr>
            </w:pPr>
            <w:r>
              <w:rPr>
                <w:rFonts w:ascii="仿宋" w:hAnsi="仿宋"/>
                <w:color w:val="000000"/>
                <w:szCs w:val="24"/>
              </w:rPr>
              <w:t>检验指标与用药的审查</w:t>
            </w:r>
          </w:p>
        </w:tc>
        <w:tc>
          <w:tcPr>
            <w:tcW w:w="2506" w:type="pct"/>
            <w:tcBorders>
              <w:top w:val="nil"/>
              <w:left w:val="nil"/>
              <w:bottom w:val="single" w:color="auto" w:sz="4" w:space="0"/>
              <w:right w:val="single" w:color="auto" w:sz="4" w:space="0"/>
            </w:tcBorders>
          </w:tcPr>
          <w:p w14:paraId="2D37E50A">
            <w:pPr>
              <w:spacing w:line="240" w:lineRule="auto"/>
              <w:ind w:firstLine="24" w:firstLineChars="10"/>
              <w:jc w:val="left"/>
              <w:rPr>
                <w:rFonts w:hint="eastAsia" w:ascii="仿宋" w:hAnsi="仿宋"/>
                <w:color w:val="000000"/>
                <w:szCs w:val="24"/>
              </w:rPr>
            </w:pPr>
            <w:r>
              <w:rPr>
                <w:rFonts w:ascii="仿宋" w:hAnsi="仿宋"/>
                <w:color w:val="000000"/>
                <w:szCs w:val="24"/>
              </w:rPr>
              <w:t>将检验指标与相关药品进行关联，实现检验指标在该药品用法用量、禁忌症、相互作用审查中的应用；</w:t>
            </w:r>
          </w:p>
          <w:p w14:paraId="545A6EF9">
            <w:pPr>
              <w:widowControl/>
              <w:spacing w:line="240" w:lineRule="auto"/>
              <w:ind w:firstLine="24" w:firstLineChars="10"/>
              <w:jc w:val="left"/>
              <w:rPr>
                <w:rFonts w:hint="eastAsia" w:ascii="仿宋" w:hAnsi="仿宋"/>
                <w:color w:val="000000"/>
                <w:szCs w:val="24"/>
              </w:rPr>
            </w:pPr>
            <w:r>
              <w:rPr>
                <w:rFonts w:ascii="仿宋" w:hAnsi="仿宋"/>
                <w:color w:val="000000"/>
                <w:szCs w:val="24"/>
              </w:rPr>
              <w:t>系统已覆盖中性粒细胞、白细胞、红细胞、血小板、血红蛋白、白蛋白、血钾、血钙、血镁、血甘油三酯、尿素氮、胆红素、血磷、丙氨酸氨基转移酶、天门冬氨酸氨基转移酶、国际标准化比值等指标在用户药品中的应用</w:t>
            </w:r>
            <w:r>
              <w:rPr>
                <w:rFonts w:hint="eastAsia" w:ascii="仿宋" w:hAnsi="仿宋"/>
                <w:color w:val="000000"/>
                <w:szCs w:val="24"/>
              </w:rPr>
              <w:t>。</w:t>
            </w:r>
          </w:p>
        </w:tc>
        <w:tc>
          <w:tcPr>
            <w:tcW w:w="455" w:type="pct"/>
            <w:tcBorders>
              <w:top w:val="nil"/>
              <w:left w:val="nil"/>
              <w:bottom w:val="single" w:color="auto" w:sz="4" w:space="0"/>
              <w:right w:val="single" w:color="auto" w:sz="4" w:space="0"/>
            </w:tcBorders>
            <w:vAlign w:val="center"/>
          </w:tcPr>
          <w:p w14:paraId="2C602518">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E115415">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B747D8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1.1.2.4</w:t>
            </w:r>
          </w:p>
        </w:tc>
        <w:tc>
          <w:tcPr>
            <w:tcW w:w="994" w:type="pct"/>
            <w:tcBorders>
              <w:top w:val="nil"/>
              <w:left w:val="single" w:color="auto" w:sz="4" w:space="0"/>
              <w:bottom w:val="single" w:color="auto" w:sz="4" w:space="0"/>
              <w:right w:val="single" w:color="auto" w:sz="4" w:space="0"/>
            </w:tcBorders>
            <w:vAlign w:val="center"/>
          </w:tcPr>
          <w:p w14:paraId="4F014A23">
            <w:pPr>
              <w:widowControl/>
              <w:spacing w:line="240" w:lineRule="auto"/>
              <w:ind w:firstLine="0" w:firstLineChars="0"/>
              <w:jc w:val="left"/>
              <w:rPr>
                <w:rFonts w:hint="eastAsia" w:ascii="仿宋" w:hAnsi="仿宋"/>
                <w:color w:val="000000"/>
                <w:szCs w:val="24"/>
              </w:rPr>
            </w:pPr>
            <w:r>
              <w:rPr>
                <w:rFonts w:ascii="仿宋" w:hAnsi="仿宋"/>
                <w:color w:val="000000"/>
                <w:szCs w:val="24"/>
              </w:rPr>
              <w:t>适应症、禁忌症的审查</w:t>
            </w:r>
          </w:p>
        </w:tc>
        <w:tc>
          <w:tcPr>
            <w:tcW w:w="2506" w:type="pct"/>
            <w:tcBorders>
              <w:top w:val="nil"/>
              <w:left w:val="nil"/>
              <w:bottom w:val="single" w:color="auto" w:sz="4" w:space="0"/>
              <w:right w:val="single" w:color="auto" w:sz="4" w:space="0"/>
            </w:tcBorders>
          </w:tcPr>
          <w:p w14:paraId="7F85F83A">
            <w:pPr>
              <w:spacing w:line="240" w:lineRule="auto"/>
              <w:ind w:firstLine="24" w:firstLineChars="10"/>
              <w:jc w:val="left"/>
              <w:rPr>
                <w:rFonts w:hint="eastAsia" w:ascii="仿宋" w:hAnsi="仿宋"/>
                <w:color w:val="000000"/>
                <w:szCs w:val="24"/>
              </w:rPr>
            </w:pPr>
            <w:r>
              <w:rPr>
                <w:rFonts w:ascii="仿宋" w:hAnsi="仿宋"/>
                <w:color w:val="000000"/>
                <w:szCs w:val="24"/>
              </w:rPr>
              <w:t>系统支持结合患者诊断、检验指标、年龄等信息，实现对药品适应症、禁忌症的合理性审查；</w:t>
            </w:r>
          </w:p>
          <w:p w14:paraId="5190CF44">
            <w:pPr>
              <w:numPr>
                <w:numId w:val="0"/>
              </w:numPr>
              <w:spacing w:line="240" w:lineRule="auto"/>
              <w:ind w:leftChars="10"/>
              <w:jc w:val="left"/>
              <w:rPr>
                <w:rFonts w:hint="eastAsia" w:ascii="仿宋" w:hAnsi="仿宋"/>
                <w:color w:val="000000"/>
                <w:szCs w:val="24"/>
              </w:rPr>
            </w:pPr>
            <w:r>
              <w:rPr>
                <w:rFonts w:ascii="仿宋" w:hAnsi="仿宋"/>
                <w:color w:val="000000"/>
                <w:szCs w:val="24"/>
              </w:rPr>
              <w:t>适应症：已覆盖除溶媒、肠内和肠外营养用药、疫苗、血浆制品和血浆代用品、止血药、造影剂以外的用户全部药品，及其他已上市药品；</w:t>
            </w:r>
          </w:p>
          <w:p w14:paraId="3B6C49D5">
            <w:pPr>
              <w:numPr>
                <w:numId w:val="0"/>
              </w:numPr>
              <w:spacing w:line="240" w:lineRule="auto"/>
              <w:ind w:leftChars="10"/>
              <w:jc w:val="left"/>
              <w:rPr>
                <w:rFonts w:hint="eastAsia" w:ascii="仿宋" w:hAnsi="仿宋"/>
                <w:color w:val="000000"/>
                <w:szCs w:val="24"/>
              </w:rPr>
            </w:pPr>
            <w:r>
              <w:rPr>
                <w:rFonts w:ascii="仿宋" w:hAnsi="仿宋"/>
                <w:color w:val="000000"/>
                <w:szCs w:val="24"/>
              </w:rPr>
              <w:t>禁忌症：已覆盖所有存在禁忌症的用户全部药品，及其他已上市药品；</w:t>
            </w:r>
          </w:p>
        </w:tc>
        <w:tc>
          <w:tcPr>
            <w:tcW w:w="455" w:type="pct"/>
            <w:tcBorders>
              <w:top w:val="nil"/>
              <w:left w:val="nil"/>
              <w:bottom w:val="single" w:color="auto" w:sz="4" w:space="0"/>
              <w:right w:val="single" w:color="auto" w:sz="4" w:space="0"/>
            </w:tcBorders>
            <w:vAlign w:val="center"/>
          </w:tcPr>
          <w:p w14:paraId="445939F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36DCB78">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69D3689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1.1.2.5</w:t>
            </w:r>
          </w:p>
        </w:tc>
        <w:tc>
          <w:tcPr>
            <w:tcW w:w="994" w:type="pct"/>
            <w:tcBorders>
              <w:top w:val="nil"/>
              <w:left w:val="single" w:color="auto" w:sz="4" w:space="0"/>
              <w:bottom w:val="single" w:color="auto" w:sz="4" w:space="0"/>
              <w:right w:val="single" w:color="auto" w:sz="4" w:space="0"/>
            </w:tcBorders>
            <w:vAlign w:val="center"/>
          </w:tcPr>
          <w:p w14:paraId="6E5F72B1">
            <w:pPr>
              <w:widowControl/>
              <w:spacing w:line="240" w:lineRule="auto"/>
              <w:ind w:firstLine="0" w:firstLineChars="0"/>
              <w:jc w:val="left"/>
              <w:rPr>
                <w:rFonts w:hint="eastAsia" w:ascii="仿宋" w:hAnsi="仿宋"/>
                <w:color w:val="000000"/>
                <w:szCs w:val="24"/>
              </w:rPr>
            </w:pPr>
            <w:r>
              <w:rPr>
                <w:rFonts w:ascii="仿宋" w:hAnsi="仿宋"/>
                <w:color w:val="000000"/>
                <w:szCs w:val="24"/>
              </w:rPr>
              <w:t>给药途径的审查</w:t>
            </w:r>
          </w:p>
        </w:tc>
        <w:tc>
          <w:tcPr>
            <w:tcW w:w="2506" w:type="pct"/>
            <w:tcBorders>
              <w:top w:val="nil"/>
              <w:left w:val="nil"/>
              <w:bottom w:val="single" w:color="auto" w:sz="4" w:space="0"/>
              <w:right w:val="single" w:color="auto" w:sz="4" w:space="0"/>
            </w:tcBorders>
          </w:tcPr>
          <w:p w14:paraId="5EBFDF58">
            <w:pPr>
              <w:spacing w:line="240" w:lineRule="auto"/>
              <w:ind w:firstLine="0" w:firstLineChars="0"/>
              <w:jc w:val="left"/>
              <w:rPr>
                <w:rFonts w:hint="eastAsia" w:ascii="仿宋" w:hAnsi="仿宋"/>
                <w:color w:val="000000"/>
                <w:szCs w:val="24"/>
              </w:rPr>
            </w:pPr>
            <w:r>
              <w:rPr>
                <w:rFonts w:ascii="仿宋" w:hAnsi="仿宋"/>
                <w:color w:val="000000"/>
                <w:szCs w:val="24"/>
              </w:rPr>
              <w:t>实现处方/医嘱药品的给药途径的合理性的审查；</w:t>
            </w:r>
          </w:p>
          <w:p w14:paraId="01E8144E">
            <w:pPr>
              <w:widowControl/>
              <w:spacing w:line="240" w:lineRule="auto"/>
              <w:ind w:firstLine="24" w:firstLineChars="10"/>
              <w:jc w:val="left"/>
              <w:rPr>
                <w:rFonts w:hint="eastAsia" w:ascii="仿宋" w:hAnsi="仿宋"/>
                <w:color w:val="000000"/>
                <w:szCs w:val="24"/>
              </w:rPr>
            </w:pPr>
            <w:r>
              <w:rPr>
                <w:rFonts w:ascii="仿宋" w:hAnsi="仿宋"/>
                <w:color w:val="000000"/>
                <w:szCs w:val="24"/>
              </w:rPr>
              <w:t>对门急诊患者处方中使用的口服剂型药品（排除肠内营养制剂），审查其给药途径是否为鼻饲、造瘘管滴入，提醒用户可能存在给药途径不合理的问题。</w:t>
            </w:r>
          </w:p>
        </w:tc>
        <w:tc>
          <w:tcPr>
            <w:tcW w:w="455" w:type="pct"/>
            <w:tcBorders>
              <w:top w:val="nil"/>
              <w:left w:val="nil"/>
              <w:bottom w:val="single" w:color="auto" w:sz="4" w:space="0"/>
              <w:right w:val="single" w:color="auto" w:sz="4" w:space="0"/>
            </w:tcBorders>
            <w:vAlign w:val="center"/>
          </w:tcPr>
          <w:p w14:paraId="3F5FA5F0">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03D9181">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6239EE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1.1.2.6</w:t>
            </w:r>
          </w:p>
        </w:tc>
        <w:tc>
          <w:tcPr>
            <w:tcW w:w="994" w:type="pct"/>
            <w:tcBorders>
              <w:top w:val="nil"/>
              <w:left w:val="single" w:color="auto" w:sz="4" w:space="0"/>
              <w:bottom w:val="single" w:color="auto" w:sz="4" w:space="0"/>
              <w:right w:val="single" w:color="auto" w:sz="4" w:space="0"/>
            </w:tcBorders>
            <w:vAlign w:val="center"/>
          </w:tcPr>
          <w:p w14:paraId="0F94A5E5">
            <w:pPr>
              <w:widowControl/>
              <w:spacing w:line="240" w:lineRule="auto"/>
              <w:ind w:firstLine="0" w:firstLineChars="0"/>
              <w:jc w:val="left"/>
              <w:rPr>
                <w:rFonts w:hint="eastAsia" w:ascii="仿宋" w:hAnsi="仿宋"/>
                <w:color w:val="000000"/>
                <w:szCs w:val="24"/>
              </w:rPr>
            </w:pPr>
            <w:r>
              <w:rPr>
                <w:rFonts w:ascii="仿宋" w:hAnsi="仿宋"/>
                <w:color w:val="000000"/>
                <w:szCs w:val="24"/>
              </w:rPr>
              <w:t>用法用量的审查</w:t>
            </w:r>
          </w:p>
        </w:tc>
        <w:tc>
          <w:tcPr>
            <w:tcW w:w="2506" w:type="pct"/>
            <w:tcBorders>
              <w:top w:val="nil"/>
              <w:left w:val="nil"/>
              <w:bottom w:val="single" w:color="auto" w:sz="4" w:space="0"/>
              <w:right w:val="single" w:color="auto" w:sz="4" w:space="0"/>
            </w:tcBorders>
            <w:vAlign w:val="center"/>
          </w:tcPr>
          <w:p w14:paraId="54ACF3B8">
            <w:pPr>
              <w:spacing w:line="240" w:lineRule="auto"/>
              <w:ind w:firstLine="0" w:firstLineChars="0"/>
              <w:jc w:val="left"/>
              <w:rPr>
                <w:rFonts w:hint="eastAsia" w:ascii="仿宋" w:hAnsi="仿宋"/>
                <w:color w:val="000000"/>
                <w:szCs w:val="24"/>
              </w:rPr>
            </w:pPr>
            <w:r>
              <w:rPr>
                <w:rFonts w:ascii="仿宋" w:hAnsi="仿宋"/>
                <w:color w:val="000000"/>
                <w:szCs w:val="24"/>
              </w:rPr>
              <w:t>系统支持根据患者年龄、性别、体重、体表面积、孕产、诊断、各项检验指标，结合药品的给药途径等信息对药品剂量进行合理性审查：</w:t>
            </w:r>
          </w:p>
          <w:p w14:paraId="0A0EB629">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1、</w:t>
            </w:r>
            <w:r>
              <w:rPr>
                <w:rFonts w:ascii="仿宋" w:hAnsi="仿宋"/>
                <w:color w:val="000000"/>
                <w:szCs w:val="24"/>
              </w:rPr>
              <w:t>支持药嘱每次剂量、每平米每次剂量、每公斤每次剂量的审查；</w:t>
            </w:r>
          </w:p>
          <w:p w14:paraId="716EEDFA">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2、</w:t>
            </w:r>
            <w:r>
              <w:rPr>
                <w:rFonts w:ascii="仿宋" w:hAnsi="仿宋"/>
                <w:color w:val="000000"/>
                <w:szCs w:val="24"/>
              </w:rPr>
              <w:t>支持当前审查药嘱每天剂量、每平米每天剂量、每公斤每天剂量的审查；</w:t>
            </w:r>
          </w:p>
          <w:p w14:paraId="47AC7AAB">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3、</w:t>
            </w:r>
            <w:r>
              <w:rPr>
                <w:rFonts w:ascii="仿宋" w:hAnsi="仿宋"/>
                <w:color w:val="000000"/>
                <w:szCs w:val="24"/>
              </w:rPr>
              <w:t>支持具体药品的累计日剂量、每平米累计日剂量、每公斤累计日剂量的审查；</w:t>
            </w:r>
          </w:p>
          <w:p w14:paraId="3EEACCDC">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4、</w:t>
            </w:r>
            <w:r>
              <w:rPr>
                <w:rFonts w:ascii="仿宋" w:hAnsi="仿宋"/>
                <w:color w:val="000000"/>
                <w:szCs w:val="24"/>
              </w:rPr>
              <w:t>支持具体药品的累计剂量、每平米累计剂量、每公斤累计剂量的审查；</w:t>
            </w:r>
          </w:p>
          <w:p w14:paraId="50C1EC7D">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5、</w:t>
            </w:r>
            <w:r>
              <w:rPr>
                <w:rFonts w:ascii="仿宋" w:hAnsi="仿宋"/>
                <w:color w:val="000000"/>
                <w:szCs w:val="24"/>
              </w:rPr>
              <w:t>支持当前药嘱相同成分的药品的成分累计剂量、成分每平米累计剂量、成分每公斤累计剂量的审查，避免同成分合并用药时判断为重复用药的假阳性；（如：复方制剂和单方制剂一起合用，但药品中各成分累计剂量符合最大用药剂量范围内，判定为合理的合并用药）</w:t>
            </w:r>
          </w:p>
          <w:p w14:paraId="3A9A45B6">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6、</w:t>
            </w:r>
            <w:r>
              <w:rPr>
                <w:rFonts w:ascii="仿宋" w:hAnsi="仿宋"/>
                <w:color w:val="000000"/>
                <w:szCs w:val="24"/>
              </w:rPr>
              <w:t>支持长期医嘱和临时医嘱（st、once）的单次剂量的分别审查；</w:t>
            </w:r>
          </w:p>
          <w:p w14:paraId="4B7129D6">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7、</w:t>
            </w:r>
            <w:r>
              <w:rPr>
                <w:rFonts w:ascii="仿宋" w:hAnsi="仿宋"/>
                <w:color w:val="000000"/>
                <w:szCs w:val="24"/>
              </w:rPr>
              <w:t>系统支持根据患者年龄、性别、体重、体表面积、孕产、诊断、各项检验指标对药品给药频率、给药时机、进行合理性审查；</w:t>
            </w:r>
          </w:p>
          <w:p w14:paraId="4F5EE4F6">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8、</w:t>
            </w:r>
            <w:r>
              <w:rPr>
                <w:rFonts w:ascii="仿宋" w:hAnsi="仿宋"/>
                <w:color w:val="000000"/>
                <w:szCs w:val="24"/>
              </w:rPr>
              <w:t>实现儿童剂量多维度审查，儿童剂量符合参考标准中年龄和体重任一条件，均判断为合理的剂量；</w:t>
            </w:r>
          </w:p>
          <w:p w14:paraId="068292A1">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9、</w:t>
            </w:r>
            <w:r>
              <w:rPr>
                <w:rFonts w:ascii="仿宋" w:hAnsi="仿宋"/>
                <w:color w:val="000000"/>
                <w:szCs w:val="24"/>
              </w:rPr>
              <w:t>实现缓释片、控释片、肠溶片等对分剂量服用有特定要求的药品，其每次给药剂量是否为合理的可分剂量的审查；</w:t>
            </w:r>
          </w:p>
          <w:p w14:paraId="5A3FD51F">
            <w:pPr>
              <w:numPr>
                <w:numId w:val="0"/>
              </w:numPr>
              <w:spacing w:line="240" w:lineRule="auto"/>
              <w:ind w:leftChars="10"/>
              <w:jc w:val="left"/>
              <w:rPr>
                <w:rFonts w:hint="eastAsia" w:ascii="仿宋" w:hAnsi="仿宋"/>
                <w:color w:val="000000"/>
                <w:szCs w:val="24"/>
              </w:rPr>
            </w:pPr>
            <w:r>
              <w:rPr>
                <w:rFonts w:hint="eastAsia" w:ascii="仿宋" w:hAnsi="仿宋"/>
                <w:color w:val="000000"/>
                <w:szCs w:val="24"/>
                <w:lang w:val="en-US" w:eastAsia="zh-CN"/>
              </w:rPr>
              <w:t>10、</w:t>
            </w:r>
            <w:r>
              <w:rPr>
                <w:rFonts w:ascii="仿宋" w:hAnsi="仿宋"/>
                <w:color w:val="000000"/>
                <w:szCs w:val="24"/>
              </w:rPr>
              <w:t>现校正剂量（覆盖除肿瘤药品外的口服药品）的审查，通过对涉及体重、体表面积计算出的非整数剂量的校正，提高审查准确率（如某药品根据体重、体表面积计算出患者应使用0.98片，而医生实际开具1片，判断为合理的剂量）；</w:t>
            </w:r>
          </w:p>
          <w:p w14:paraId="5DDFEDA9">
            <w:pPr>
              <w:widowControl/>
              <w:spacing w:line="240" w:lineRule="auto"/>
              <w:ind w:firstLine="24" w:firstLineChars="10"/>
              <w:jc w:val="left"/>
              <w:rPr>
                <w:rFonts w:hint="eastAsia" w:ascii="仿宋" w:hAnsi="仿宋"/>
                <w:color w:val="000000"/>
                <w:szCs w:val="24"/>
              </w:rPr>
            </w:pPr>
            <w:r>
              <w:rPr>
                <w:rFonts w:hint="eastAsia" w:ascii="仿宋" w:hAnsi="仿宋"/>
                <w:color w:val="EE0000"/>
                <w:szCs w:val="24"/>
                <w:lang w:eastAsia="zh-CN"/>
              </w:rPr>
              <w:t xml:space="preserve">  </w:t>
            </w:r>
            <w:r>
              <w:rPr>
                <w:rFonts w:ascii="仿宋" w:hAnsi="仿宋"/>
                <w:color w:val="000000"/>
                <w:szCs w:val="24"/>
              </w:rPr>
              <w:t>实现异常剂量（覆盖除溶媒、疫苗、血浆成分及血浆代用品、造影、氨基酸、脂肪乳外的成品输液型药品、小容量注射剂和口服药品）的审查：80岁以上老年患者和14岁以下儿童患者，每次或每天剂量不得超过说明书常规剂量上限的1倍；其他患者，每次或每天剂量不得超过说明书常规剂量上限的2倍；14岁以上患者每次或每天剂量不得低于说明书常规剂量下限的1/5。</w:t>
            </w:r>
          </w:p>
        </w:tc>
        <w:tc>
          <w:tcPr>
            <w:tcW w:w="455" w:type="pct"/>
            <w:tcBorders>
              <w:top w:val="nil"/>
              <w:left w:val="nil"/>
              <w:bottom w:val="single" w:color="auto" w:sz="4" w:space="0"/>
              <w:right w:val="single" w:color="auto" w:sz="4" w:space="0"/>
            </w:tcBorders>
            <w:vAlign w:val="center"/>
          </w:tcPr>
          <w:p w14:paraId="72AD5FB5">
            <w:pPr>
              <w:widowControl/>
              <w:spacing w:line="240" w:lineRule="auto"/>
              <w:ind w:firstLine="0" w:firstLineChars="0"/>
              <w:jc w:val="center"/>
              <w:rPr>
                <w:rFonts w:hint="eastAsia" w:ascii="仿宋" w:hAnsi="仿宋" w:eastAsia="仿宋" w:cs="宋体"/>
                <w:color w:val="000000"/>
                <w:szCs w:val="24"/>
                <w:highlight w:val="yellow"/>
                <w:lang w:eastAsia="zh-CN"/>
              </w:rPr>
            </w:pPr>
            <w:r>
              <w:rPr>
                <w:rFonts w:hint="eastAsia" w:ascii="仿宋" w:hAnsi="仿宋" w:cs="宋体"/>
                <w:color w:val="000000"/>
                <w:szCs w:val="24"/>
                <w:lang w:eastAsia="zh-CN"/>
              </w:rPr>
              <w:t xml:space="preserve"> </w:t>
            </w:r>
          </w:p>
        </w:tc>
      </w:tr>
      <w:tr w14:paraId="3951AA73">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503A0F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1.1.2.7</w:t>
            </w:r>
          </w:p>
        </w:tc>
        <w:tc>
          <w:tcPr>
            <w:tcW w:w="994" w:type="pct"/>
            <w:tcBorders>
              <w:top w:val="nil"/>
              <w:left w:val="single" w:color="auto" w:sz="4" w:space="0"/>
              <w:bottom w:val="single" w:color="auto" w:sz="4" w:space="0"/>
              <w:right w:val="single" w:color="auto" w:sz="4" w:space="0"/>
            </w:tcBorders>
            <w:vAlign w:val="center"/>
          </w:tcPr>
          <w:p w14:paraId="0742BF76">
            <w:pPr>
              <w:widowControl/>
              <w:spacing w:line="240" w:lineRule="auto"/>
              <w:ind w:firstLine="0" w:firstLineChars="0"/>
              <w:jc w:val="left"/>
              <w:rPr>
                <w:rFonts w:hint="eastAsia" w:ascii="仿宋" w:hAnsi="仿宋"/>
                <w:color w:val="000000"/>
                <w:szCs w:val="24"/>
              </w:rPr>
            </w:pPr>
            <w:r>
              <w:rPr>
                <w:rFonts w:ascii="仿宋" w:hAnsi="仿宋"/>
                <w:color w:val="000000"/>
                <w:szCs w:val="24"/>
              </w:rPr>
              <w:t>用药疗程的审查</w:t>
            </w:r>
          </w:p>
        </w:tc>
        <w:tc>
          <w:tcPr>
            <w:tcW w:w="2506" w:type="pct"/>
            <w:tcBorders>
              <w:top w:val="nil"/>
              <w:left w:val="nil"/>
              <w:bottom w:val="single" w:color="auto" w:sz="4" w:space="0"/>
              <w:right w:val="single" w:color="auto" w:sz="4" w:space="0"/>
            </w:tcBorders>
          </w:tcPr>
          <w:p w14:paraId="26B7B54F">
            <w:pPr>
              <w:spacing w:line="240" w:lineRule="auto"/>
              <w:ind w:firstLine="0" w:firstLineChars="0"/>
              <w:jc w:val="left"/>
              <w:rPr>
                <w:rFonts w:hint="eastAsia" w:ascii="仿宋" w:hAnsi="仿宋"/>
                <w:color w:val="000000"/>
                <w:szCs w:val="24"/>
              </w:rPr>
            </w:pPr>
            <w:r>
              <w:rPr>
                <w:rFonts w:ascii="仿宋" w:hAnsi="仿宋"/>
                <w:color w:val="000000"/>
                <w:szCs w:val="24"/>
              </w:rPr>
              <w:t>在门诊药嘱用药时，支持特定药品的用药疗程的管控，限制医生仅能在规定疗程内进行开药；</w:t>
            </w:r>
          </w:p>
          <w:p w14:paraId="70B36E50">
            <w:pPr>
              <w:spacing w:line="240" w:lineRule="auto"/>
              <w:ind w:firstLine="0" w:firstLineChars="0"/>
              <w:jc w:val="left"/>
              <w:rPr>
                <w:rFonts w:hint="eastAsia" w:ascii="仿宋" w:hAnsi="仿宋"/>
                <w:color w:val="000000"/>
                <w:szCs w:val="24"/>
              </w:rPr>
            </w:pPr>
            <w:r>
              <w:rPr>
                <w:rFonts w:ascii="仿宋" w:hAnsi="仿宋"/>
                <w:color w:val="000000"/>
                <w:szCs w:val="24"/>
              </w:rPr>
              <w:t>在住院医嘱用药时，支持按在用药品配置药品累计使用最大天数的管控；</w:t>
            </w:r>
          </w:p>
          <w:p w14:paraId="2E9BF25E">
            <w:pPr>
              <w:widowControl/>
              <w:spacing w:line="240" w:lineRule="auto"/>
              <w:ind w:firstLine="24" w:firstLineChars="10"/>
              <w:jc w:val="left"/>
              <w:rPr>
                <w:rFonts w:hint="eastAsia" w:ascii="仿宋" w:hAnsi="仿宋"/>
                <w:color w:val="000000"/>
                <w:szCs w:val="24"/>
              </w:rPr>
            </w:pPr>
            <w:r>
              <w:rPr>
                <w:rFonts w:ascii="仿宋" w:hAnsi="仿宋"/>
                <w:color w:val="000000"/>
                <w:szCs w:val="24"/>
              </w:rPr>
              <w:t>触发审查时，超出用药天数的限制，给予医生提醒；</w:t>
            </w:r>
          </w:p>
        </w:tc>
        <w:tc>
          <w:tcPr>
            <w:tcW w:w="455" w:type="pct"/>
            <w:tcBorders>
              <w:top w:val="nil"/>
              <w:left w:val="nil"/>
              <w:bottom w:val="single" w:color="auto" w:sz="4" w:space="0"/>
              <w:right w:val="single" w:color="auto" w:sz="4" w:space="0"/>
            </w:tcBorders>
            <w:vAlign w:val="center"/>
          </w:tcPr>
          <w:p w14:paraId="2FADCB01">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C573E21">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D04C36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1.1.2.8</w:t>
            </w:r>
          </w:p>
        </w:tc>
        <w:tc>
          <w:tcPr>
            <w:tcW w:w="994" w:type="pct"/>
            <w:tcBorders>
              <w:top w:val="nil"/>
              <w:left w:val="single" w:color="auto" w:sz="4" w:space="0"/>
              <w:bottom w:val="single" w:color="auto" w:sz="4" w:space="0"/>
              <w:right w:val="single" w:color="auto" w:sz="4" w:space="0"/>
            </w:tcBorders>
            <w:vAlign w:val="center"/>
          </w:tcPr>
          <w:p w14:paraId="0AC87CFE">
            <w:pPr>
              <w:widowControl/>
              <w:spacing w:line="240" w:lineRule="auto"/>
              <w:ind w:firstLine="0" w:firstLineChars="0"/>
              <w:jc w:val="left"/>
              <w:rPr>
                <w:rFonts w:hint="eastAsia" w:ascii="仿宋" w:hAnsi="仿宋"/>
                <w:color w:val="000000"/>
                <w:szCs w:val="24"/>
              </w:rPr>
            </w:pPr>
            <w:r>
              <w:rPr>
                <w:rFonts w:ascii="仿宋" w:hAnsi="仿宋"/>
                <w:color w:val="000000"/>
                <w:szCs w:val="24"/>
              </w:rPr>
              <w:t>相互作用的审查</w:t>
            </w:r>
          </w:p>
        </w:tc>
        <w:tc>
          <w:tcPr>
            <w:tcW w:w="2506" w:type="pct"/>
            <w:tcBorders>
              <w:top w:val="nil"/>
              <w:left w:val="nil"/>
              <w:bottom w:val="single" w:color="auto" w:sz="4" w:space="0"/>
              <w:right w:val="single" w:color="auto" w:sz="4" w:space="0"/>
            </w:tcBorders>
          </w:tcPr>
          <w:p w14:paraId="486FCF73">
            <w:pPr>
              <w:spacing w:line="240" w:lineRule="auto"/>
              <w:ind w:firstLine="0" w:firstLineChars="0"/>
              <w:jc w:val="left"/>
              <w:rPr>
                <w:rFonts w:hint="eastAsia" w:ascii="仿宋" w:hAnsi="仿宋"/>
                <w:color w:val="000000"/>
                <w:szCs w:val="24"/>
              </w:rPr>
            </w:pPr>
            <w:r>
              <w:rPr>
                <w:rFonts w:ascii="仿宋" w:hAnsi="仿宋"/>
                <w:color w:val="000000"/>
                <w:szCs w:val="24"/>
              </w:rPr>
              <w:t>结合病人的具体情况【如：诊断、检验值、合用药品（剂量、频率、给药途径）】等信息，实现可根据不同药品名称在实际用药中是否存在不良相互作用的精准审查；</w:t>
            </w:r>
          </w:p>
          <w:p w14:paraId="04764AF1">
            <w:pPr>
              <w:spacing w:line="240" w:lineRule="auto"/>
              <w:ind w:firstLine="0" w:firstLineChars="0"/>
              <w:jc w:val="left"/>
              <w:rPr>
                <w:rFonts w:hint="eastAsia" w:ascii="仿宋" w:hAnsi="仿宋"/>
                <w:color w:val="000000"/>
                <w:szCs w:val="24"/>
              </w:rPr>
            </w:pPr>
            <w:r>
              <w:rPr>
                <w:rFonts w:ascii="仿宋" w:hAnsi="仿宋"/>
                <w:color w:val="000000"/>
                <w:szCs w:val="24"/>
              </w:rPr>
              <w:t>实现含有乙醇的药品与特定药物不良相互作用的审查，提示可能存在双硫仑样反应；</w:t>
            </w:r>
          </w:p>
          <w:p w14:paraId="4925C310">
            <w:pPr>
              <w:spacing w:line="240" w:lineRule="auto"/>
              <w:ind w:firstLine="0" w:firstLineChars="0"/>
              <w:jc w:val="left"/>
              <w:rPr>
                <w:rFonts w:hint="eastAsia" w:ascii="仿宋" w:hAnsi="仿宋"/>
                <w:color w:val="000000"/>
                <w:szCs w:val="24"/>
              </w:rPr>
            </w:pPr>
            <w:r>
              <w:rPr>
                <w:rFonts w:ascii="仿宋" w:hAnsi="仿宋"/>
                <w:color w:val="000000"/>
                <w:szCs w:val="24"/>
              </w:rPr>
              <w:t>含有2个或2个以上乌头碱的中成药（如：虎力散制剂、强力天麻杜仲制剂、祛风止痛制剂、尪痹制剂、复方夏天无片等）进行相互作用的审查，提示可能存在毒性反应；</w:t>
            </w:r>
          </w:p>
          <w:p w14:paraId="48B9098A">
            <w:pPr>
              <w:widowControl/>
              <w:spacing w:line="240" w:lineRule="auto"/>
              <w:ind w:firstLine="24" w:firstLineChars="10"/>
              <w:jc w:val="left"/>
              <w:rPr>
                <w:rFonts w:hint="eastAsia" w:ascii="仿宋" w:hAnsi="仿宋"/>
                <w:color w:val="000000"/>
                <w:szCs w:val="24"/>
              </w:rPr>
            </w:pPr>
            <w:r>
              <w:rPr>
                <w:rFonts w:ascii="仿宋" w:hAnsi="仿宋"/>
                <w:color w:val="000000"/>
                <w:szCs w:val="24"/>
              </w:rPr>
              <w:t>实现治疗感冒的中成药与滋补性中成药的审查，可能存在不良相互作用。</w:t>
            </w:r>
          </w:p>
        </w:tc>
        <w:tc>
          <w:tcPr>
            <w:tcW w:w="455" w:type="pct"/>
            <w:tcBorders>
              <w:top w:val="nil"/>
              <w:left w:val="nil"/>
              <w:bottom w:val="single" w:color="auto" w:sz="4" w:space="0"/>
              <w:right w:val="single" w:color="auto" w:sz="4" w:space="0"/>
            </w:tcBorders>
            <w:vAlign w:val="center"/>
          </w:tcPr>
          <w:p w14:paraId="7DAFCCF8">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7E95AA5">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19F7518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1.1.2.9</w:t>
            </w:r>
          </w:p>
        </w:tc>
        <w:tc>
          <w:tcPr>
            <w:tcW w:w="994" w:type="pct"/>
            <w:tcBorders>
              <w:top w:val="nil"/>
              <w:left w:val="single" w:color="auto" w:sz="4" w:space="0"/>
              <w:bottom w:val="single" w:color="auto" w:sz="4" w:space="0"/>
              <w:right w:val="single" w:color="auto" w:sz="4" w:space="0"/>
            </w:tcBorders>
            <w:vAlign w:val="center"/>
          </w:tcPr>
          <w:p w14:paraId="3FFF8435">
            <w:pPr>
              <w:widowControl/>
              <w:spacing w:line="240" w:lineRule="auto"/>
              <w:ind w:firstLine="0" w:firstLineChars="0"/>
              <w:jc w:val="left"/>
              <w:rPr>
                <w:rFonts w:hint="eastAsia" w:ascii="仿宋" w:hAnsi="仿宋"/>
                <w:color w:val="000000"/>
                <w:szCs w:val="24"/>
              </w:rPr>
            </w:pPr>
            <w:r>
              <w:rPr>
                <w:rFonts w:ascii="仿宋" w:hAnsi="仿宋"/>
                <w:color w:val="000000"/>
                <w:szCs w:val="24"/>
              </w:rPr>
              <w:t>重复用药的审查（重复开具、重复治疗）</w:t>
            </w:r>
          </w:p>
        </w:tc>
        <w:tc>
          <w:tcPr>
            <w:tcW w:w="2506" w:type="pct"/>
            <w:tcBorders>
              <w:top w:val="nil"/>
              <w:left w:val="nil"/>
              <w:bottom w:val="single" w:color="auto" w:sz="4" w:space="0"/>
              <w:right w:val="single" w:color="auto" w:sz="4" w:space="0"/>
            </w:tcBorders>
          </w:tcPr>
          <w:p w14:paraId="487FA8C4">
            <w:pPr>
              <w:spacing w:line="240" w:lineRule="auto"/>
              <w:ind w:firstLine="0" w:firstLineChars="0"/>
              <w:jc w:val="left"/>
              <w:rPr>
                <w:rFonts w:hint="eastAsia" w:ascii="仿宋" w:hAnsi="仿宋"/>
                <w:color w:val="000000"/>
                <w:szCs w:val="24"/>
              </w:rPr>
            </w:pPr>
            <w:r>
              <w:rPr>
                <w:rFonts w:ascii="仿宋" w:hAnsi="仿宋"/>
                <w:color w:val="000000"/>
                <w:szCs w:val="24"/>
              </w:rPr>
              <w:t>实现可根据不同药品名称、或药品成分在实际用药中重复治疗的审查，重复治疗审查提示处方/医嘱中的两个或多个药品（带给药途径）同属某个药物治疗分类（即具有同一种治疗目的），可能存在重复用药的问题（已覆盖西药与西药、中成药与西药的重复用药）；</w:t>
            </w:r>
          </w:p>
          <w:p w14:paraId="647A33EE">
            <w:pPr>
              <w:widowControl/>
              <w:spacing w:line="240" w:lineRule="auto"/>
              <w:ind w:firstLine="24" w:firstLineChars="10"/>
              <w:jc w:val="left"/>
              <w:rPr>
                <w:rFonts w:hint="eastAsia" w:ascii="仿宋" w:hAnsi="仿宋"/>
                <w:color w:val="000000"/>
                <w:szCs w:val="24"/>
              </w:rPr>
            </w:pPr>
            <w:r>
              <w:rPr>
                <w:rFonts w:ascii="仿宋" w:hAnsi="仿宋"/>
                <w:color w:val="000000"/>
                <w:szCs w:val="24"/>
              </w:rPr>
              <w:t>实现病人用药处方/医嘱中的同一个全身给药的药品（排除溶媒等药品）重复开具的审查。</w:t>
            </w:r>
          </w:p>
        </w:tc>
        <w:tc>
          <w:tcPr>
            <w:tcW w:w="455" w:type="pct"/>
            <w:tcBorders>
              <w:top w:val="nil"/>
              <w:left w:val="nil"/>
              <w:bottom w:val="single" w:color="auto" w:sz="4" w:space="0"/>
              <w:right w:val="single" w:color="auto" w:sz="4" w:space="0"/>
            </w:tcBorders>
            <w:vAlign w:val="center"/>
          </w:tcPr>
          <w:p w14:paraId="3F270B4D">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B33280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2E47455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1.1.2.10</w:t>
            </w:r>
          </w:p>
        </w:tc>
        <w:tc>
          <w:tcPr>
            <w:tcW w:w="994" w:type="pct"/>
            <w:tcBorders>
              <w:top w:val="nil"/>
              <w:left w:val="single" w:color="auto" w:sz="4" w:space="0"/>
              <w:bottom w:val="single" w:color="auto" w:sz="4" w:space="0"/>
              <w:right w:val="single" w:color="auto" w:sz="4" w:space="0"/>
            </w:tcBorders>
            <w:vAlign w:val="center"/>
          </w:tcPr>
          <w:p w14:paraId="7F3B9C1A">
            <w:pPr>
              <w:widowControl/>
              <w:spacing w:line="240" w:lineRule="auto"/>
              <w:ind w:firstLine="0" w:firstLineChars="0"/>
              <w:jc w:val="left"/>
              <w:rPr>
                <w:rFonts w:hint="eastAsia" w:ascii="仿宋" w:hAnsi="仿宋"/>
                <w:color w:val="000000"/>
                <w:szCs w:val="24"/>
              </w:rPr>
            </w:pPr>
            <w:r>
              <w:rPr>
                <w:rFonts w:ascii="仿宋" w:hAnsi="仿宋"/>
                <w:color w:val="000000"/>
                <w:szCs w:val="24"/>
              </w:rPr>
              <w:t>配伍的审查</w:t>
            </w:r>
          </w:p>
        </w:tc>
        <w:tc>
          <w:tcPr>
            <w:tcW w:w="2506" w:type="pct"/>
            <w:tcBorders>
              <w:top w:val="nil"/>
              <w:left w:val="nil"/>
              <w:bottom w:val="single" w:color="auto" w:sz="4" w:space="0"/>
              <w:right w:val="single" w:color="auto" w:sz="4" w:space="0"/>
            </w:tcBorders>
          </w:tcPr>
          <w:p w14:paraId="2CE08390">
            <w:pPr>
              <w:spacing w:line="240" w:lineRule="auto"/>
              <w:ind w:firstLine="0" w:firstLineChars="0"/>
              <w:jc w:val="left"/>
              <w:rPr>
                <w:rFonts w:hint="eastAsia" w:ascii="仿宋" w:hAnsi="仿宋"/>
                <w:color w:val="000000"/>
                <w:szCs w:val="24"/>
              </w:rPr>
            </w:pPr>
            <w:r>
              <w:rPr>
                <w:rFonts w:ascii="仿宋" w:hAnsi="仿宋"/>
                <w:color w:val="000000"/>
                <w:szCs w:val="24"/>
              </w:rPr>
              <w:t>实现注射剂在开具时，实现配伍审查，提示同组药嘱中是否存在溶媒用量、溶媒选择、稀释（小容量注射剂）、配伍、及钾离子浓度不合理的问题；</w:t>
            </w:r>
          </w:p>
          <w:p w14:paraId="3C23F75E">
            <w:pPr>
              <w:spacing w:line="240" w:lineRule="auto"/>
              <w:ind w:firstLine="0" w:firstLineChars="0"/>
              <w:jc w:val="left"/>
              <w:rPr>
                <w:rFonts w:hint="eastAsia" w:ascii="仿宋" w:hAnsi="仿宋"/>
                <w:color w:val="000000"/>
                <w:szCs w:val="24"/>
              </w:rPr>
            </w:pPr>
            <w:r>
              <w:rPr>
                <w:rFonts w:ascii="仿宋" w:hAnsi="仿宋"/>
                <w:color w:val="000000"/>
                <w:szCs w:val="24"/>
              </w:rPr>
              <w:t>实现《400种中西药注射剂临床配伍应用检索表》、《459种中西药注射剂临床配伍应用检索表》的应用；</w:t>
            </w:r>
          </w:p>
          <w:p w14:paraId="4AD592A3">
            <w:pPr>
              <w:widowControl/>
              <w:spacing w:line="240" w:lineRule="auto"/>
              <w:ind w:firstLine="24" w:firstLineChars="10"/>
              <w:jc w:val="left"/>
              <w:rPr>
                <w:rFonts w:hint="eastAsia" w:ascii="仿宋" w:hAnsi="仿宋"/>
                <w:color w:val="000000"/>
                <w:szCs w:val="24"/>
              </w:rPr>
            </w:pPr>
            <w:r>
              <w:rPr>
                <w:rFonts w:ascii="仿宋" w:hAnsi="仿宋"/>
                <w:color w:val="000000"/>
                <w:szCs w:val="24"/>
              </w:rPr>
              <w:t>对于必须先用注射用水稀释的注射剂，实现其同组药嘱中是否添加注射用水的审查。</w:t>
            </w:r>
          </w:p>
        </w:tc>
        <w:tc>
          <w:tcPr>
            <w:tcW w:w="455" w:type="pct"/>
            <w:tcBorders>
              <w:top w:val="nil"/>
              <w:left w:val="nil"/>
              <w:bottom w:val="single" w:color="auto" w:sz="4" w:space="0"/>
              <w:right w:val="single" w:color="auto" w:sz="4" w:space="0"/>
            </w:tcBorders>
            <w:vAlign w:val="center"/>
          </w:tcPr>
          <w:p w14:paraId="7E67479C">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B8D73B3">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49468A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1.1.2.11</w:t>
            </w:r>
          </w:p>
        </w:tc>
        <w:tc>
          <w:tcPr>
            <w:tcW w:w="994" w:type="pct"/>
            <w:tcBorders>
              <w:top w:val="nil"/>
              <w:left w:val="single" w:color="auto" w:sz="4" w:space="0"/>
              <w:bottom w:val="single" w:color="auto" w:sz="4" w:space="0"/>
              <w:right w:val="single" w:color="auto" w:sz="4" w:space="0"/>
            </w:tcBorders>
            <w:vAlign w:val="center"/>
          </w:tcPr>
          <w:p w14:paraId="5C7F4753">
            <w:pPr>
              <w:widowControl/>
              <w:spacing w:line="240" w:lineRule="auto"/>
              <w:ind w:firstLine="0" w:firstLineChars="0"/>
              <w:jc w:val="left"/>
              <w:rPr>
                <w:rFonts w:hint="eastAsia" w:ascii="仿宋" w:hAnsi="仿宋"/>
                <w:color w:val="000000"/>
                <w:szCs w:val="24"/>
              </w:rPr>
            </w:pPr>
            <w:r>
              <w:rPr>
                <w:rFonts w:ascii="仿宋" w:hAnsi="仿宋"/>
                <w:color w:val="000000"/>
                <w:szCs w:val="24"/>
              </w:rPr>
              <w:t>特殊人群用药审查</w:t>
            </w:r>
          </w:p>
        </w:tc>
        <w:tc>
          <w:tcPr>
            <w:tcW w:w="2506" w:type="pct"/>
            <w:tcBorders>
              <w:top w:val="nil"/>
              <w:left w:val="nil"/>
              <w:bottom w:val="single" w:color="auto" w:sz="4" w:space="0"/>
              <w:right w:val="single" w:color="auto" w:sz="4" w:space="0"/>
            </w:tcBorders>
          </w:tcPr>
          <w:p w14:paraId="19E01CA3">
            <w:pPr>
              <w:spacing w:line="240" w:lineRule="auto"/>
              <w:ind w:firstLine="0" w:firstLineChars="0"/>
              <w:jc w:val="left"/>
              <w:rPr>
                <w:rFonts w:hint="eastAsia" w:ascii="仿宋" w:hAnsi="仿宋"/>
                <w:color w:val="000000"/>
                <w:szCs w:val="24"/>
              </w:rPr>
            </w:pPr>
            <w:r>
              <w:rPr>
                <w:rFonts w:ascii="仿宋" w:hAnsi="仿宋"/>
                <w:color w:val="000000"/>
                <w:szCs w:val="24"/>
              </w:rPr>
              <w:t>实现用药处方/医嘱中是否存在特殊人群（妊娠期妇女、哺乳期妇女、老年人、儿童等）中的禁用及慎用的药品；</w:t>
            </w:r>
          </w:p>
          <w:p w14:paraId="45B758C1">
            <w:pPr>
              <w:spacing w:line="240" w:lineRule="auto"/>
              <w:ind w:firstLine="0" w:firstLineChars="0"/>
              <w:jc w:val="left"/>
              <w:rPr>
                <w:rFonts w:hint="eastAsia" w:ascii="仿宋" w:hAnsi="仿宋"/>
                <w:color w:val="000000"/>
                <w:szCs w:val="24"/>
              </w:rPr>
            </w:pPr>
            <w:r>
              <w:rPr>
                <w:rFonts w:ascii="仿宋" w:hAnsi="仿宋"/>
                <w:color w:val="000000"/>
                <w:szCs w:val="24"/>
              </w:rPr>
              <w:t>根据传入的患者检验及诊断数据判断患者肝功能状态，审查肝功能不全患者是否存在禁用和慎用的药品；</w:t>
            </w:r>
          </w:p>
          <w:p w14:paraId="25D4BF27">
            <w:pPr>
              <w:widowControl/>
              <w:spacing w:line="240" w:lineRule="auto"/>
              <w:ind w:firstLine="24" w:firstLineChars="10"/>
              <w:jc w:val="left"/>
              <w:rPr>
                <w:rFonts w:hint="eastAsia" w:ascii="仿宋" w:hAnsi="仿宋"/>
                <w:color w:val="000000"/>
                <w:szCs w:val="24"/>
              </w:rPr>
            </w:pPr>
            <w:r>
              <w:rPr>
                <w:rFonts w:ascii="仿宋" w:hAnsi="仿宋"/>
                <w:color w:val="000000"/>
                <w:szCs w:val="24"/>
              </w:rPr>
              <w:t>通过结合病人的诊断、eGFR指标值（可选择公式： Cockcroft-Gault 公式和CKD-EPI 公式）、是否透析状态等指标，判断患者肾功能状态，审查肾功能不全患者是否存在禁用和慎用的药品。</w:t>
            </w:r>
          </w:p>
        </w:tc>
        <w:tc>
          <w:tcPr>
            <w:tcW w:w="455" w:type="pct"/>
            <w:tcBorders>
              <w:top w:val="nil"/>
              <w:left w:val="nil"/>
              <w:bottom w:val="single" w:color="auto" w:sz="4" w:space="0"/>
              <w:right w:val="single" w:color="auto" w:sz="4" w:space="0"/>
            </w:tcBorders>
            <w:vAlign w:val="center"/>
          </w:tcPr>
          <w:p w14:paraId="6DB6093E">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711E233">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C9C94A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1.1.2.12</w:t>
            </w:r>
          </w:p>
        </w:tc>
        <w:tc>
          <w:tcPr>
            <w:tcW w:w="994" w:type="pct"/>
            <w:tcBorders>
              <w:top w:val="nil"/>
              <w:left w:val="single" w:color="auto" w:sz="4" w:space="0"/>
              <w:bottom w:val="single" w:color="auto" w:sz="4" w:space="0"/>
              <w:right w:val="single" w:color="auto" w:sz="4" w:space="0"/>
            </w:tcBorders>
            <w:vAlign w:val="center"/>
          </w:tcPr>
          <w:p w14:paraId="1E00E4C1">
            <w:pPr>
              <w:widowControl/>
              <w:spacing w:line="240" w:lineRule="auto"/>
              <w:ind w:firstLine="0" w:firstLineChars="0"/>
              <w:jc w:val="left"/>
              <w:rPr>
                <w:rFonts w:hint="eastAsia" w:ascii="仿宋" w:hAnsi="仿宋"/>
                <w:color w:val="000000"/>
                <w:szCs w:val="24"/>
              </w:rPr>
            </w:pPr>
            <w:r>
              <w:rPr>
                <w:rFonts w:ascii="仿宋" w:hAnsi="仿宋"/>
                <w:color w:val="000000"/>
                <w:szCs w:val="24"/>
              </w:rPr>
              <w:t>过敏的审查</w:t>
            </w:r>
          </w:p>
        </w:tc>
        <w:tc>
          <w:tcPr>
            <w:tcW w:w="2506" w:type="pct"/>
            <w:tcBorders>
              <w:top w:val="nil"/>
              <w:left w:val="nil"/>
              <w:bottom w:val="single" w:color="auto" w:sz="4" w:space="0"/>
              <w:right w:val="single" w:color="auto" w:sz="4" w:space="0"/>
            </w:tcBorders>
          </w:tcPr>
          <w:p w14:paraId="2354783D">
            <w:pPr>
              <w:spacing w:line="240" w:lineRule="auto"/>
              <w:ind w:firstLine="0" w:firstLineChars="0"/>
              <w:jc w:val="left"/>
              <w:rPr>
                <w:rFonts w:hint="eastAsia" w:ascii="仿宋" w:hAnsi="仿宋"/>
                <w:color w:val="000000"/>
                <w:szCs w:val="24"/>
              </w:rPr>
            </w:pPr>
            <w:r>
              <w:rPr>
                <w:rFonts w:ascii="仿宋" w:hAnsi="仿宋"/>
                <w:color w:val="000000"/>
                <w:szCs w:val="24"/>
              </w:rPr>
              <w:t>在获取病人既往过敏原或过敏类信息的基础上，提示病人用药处方中是否存在与病人既往过敏药品、食物相关的、可能导致类似过敏反应的药品；</w:t>
            </w:r>
          </w:p>
          <w:p w14:paraId="7A957181">
            <w:pPr>
              <w:widowControl/>
              <w:spacing w:line="240" w:lineRule="auto"/>
              <w:ind w:firstLine="24" w:firstLineChars="10"/>
              <w:jc w:val="left"/>
              <w:rPr>
                <w:rFonts w:hint="eastAsia" w:ascii="仿宋" w:hAnsi="仿宋"/>
                <w:color w:val="000000"/>
                <w:szCs w:val="24"/>
              </w:rPr>
            </w:pPr>
            <w:r>
              <w:rPr>
                <w:rFonts w:ascii="仿宋" w:hAnsi="仿宋"/>
                <w:color w:val="000000"/>
                <w:szCs w:val="24"/>
              </w:rPr>
              <w:t>在获取病人对乙醇过敏，提示病人用药处方中是否存在含有乙醇的药品。</w:t>
            </w:r>
          </w:p>
        </w:tc>
        <w:tc>
          <w:tcPr>
            <w:tcW w:w="455" w:type="pct"/>
            <w:tcBorders>
              <w:top w:val="nil"/>
              <w:left w:val="nil"/>
              <w:bottom w:val="single" w:color="auto" w:sz="4" w:space="0"/>
              <w:right w:val="single" w:color="auto" w:sz="4" w:space="0"/>
            </w:tcBorders>
            <w:vAlign w:val="center"/>
          </w:tcPr>
          <w:p w14:paraId="52306EA7">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D5D1298">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41F76B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1.1.2.13</w:t>
            </w:r>
          </w:p>
        </w:tc>
        <w:tc>
          <w:tcPr>
            <w:tcW w:w="994" w:type="pct"/>
            <w:tcBorders>
              <w:top w:val="nil"/>
              <w:left w:val="single" w:color="auto" w:sz="4" w:space="0"/>
              <w:bottom w:val="single" w:color="auto" w:sz="4" w:space="0"/>
              <w:right w:val="single" w:color="auto" w:sz="4" w:space="0"/>
            </w:tcBorders>
            <w:vAlign w:val="center"/>
          </w:tcPr>
          <w:p w14:paraId="761A79E2">
            <w:pPr>
              <w:widowControl/>
              <w:spacing w:line="240" w:lineRule="auto"/>
              <w:ind w:firstLine="0" w:firstLineChars="0"/>
              <w:jc w:val="left"/>
              <w:rPr>
                <w:rFonts w:hint="eastAsia" w:ascii="仿宋" w:hAnsi="仿宋"/>
                <w:color w:val="000000"/>
                <w:szCs w:val="24"/>
              </w:rPr>
            </w:pPr>
            <w:r>
              <w:rPr>
                <w:rFonts w:ascii="仿宋" w:hAnsi="仿宋"/>
                <w:color w:val="000000"/>
                <w:szCs w:val="24"/>
              </w:rPr>
              <w:t>不良反应提醒</w:t>
            </w:r>
          </w:p>
        </w:tc>
        <w:tc>
          <w:tcPr>
            <w:tcW w:w="2506" w:type="pct"/>
            <w:tcBorders>
              <w:top w:val="nil"/>
              <w:left w:val="nil"/>
              <w:bottom w:val="single" w:color="auto" w:sz="4" w:space="0"/>
              <w:right w:val="single" w:color="auto" w:sz="4" w:space="0"/>
            </w:tcBorders>
          </w:tcPr>
          <w:p w14:paraId="70C2DBD8">
            <w:pPr>
              <w:widowControl/>
              <w:spacing w:line="240" w:lineRule="auto"/>
              <w:ind w:firstLine="24" w:firstLineChars="10"/>
              <w:jc w:val="left"/>
              <w:rPr>
                <w:rFonts w:hint="eastAsia" w:ascii="仿宋" w:hAnsi="仿宋"/>
                <w:color w:val="000000"/>
                <w:szCs w:val="24"/>
              </w:rPr>
            </w:pPr>
            <w:r>
              <w:rPr>
                <w:rFonts w:ascii="仿宋" w:hAnsi="仿宋"/>
                <w:color w:val="000000"/>
                <w:szCs w:val="24"/>
              </w:rPr>
              <w:t>根据国家药品监督管理局发布的不良反应信息通报，提醒医生在使用相关药品时需要注意的问题。</w:t>
            </w:r>
          </w:p>
        </w:tc>
        <w:tc>
          <w:tcPr>
            <w:tcW w:w="455" w:type="pct"/>
            <w:tcBorders>
              <w:top w:val="nil"/>
              <w:left w:val="nil"/>
              <w:bottom w:val="single" w:color="auto" w:sz="4" w:space="0"/>
              <w:right w:val="single" w:color="auto" w:sz="4" w:space="0"/>
            </w:tcBorders>
            <w:vAlign w:val="center"/>
          </w:tcPr>
          <w:p w14:paraId="7E78DA56">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CFC2CFA">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69F4D1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1.1.2.14</w:t>
            </w:r>
          </w:p>
        </w:tc>
        <w:tc>
          <w:tcPr>
            <w:tcW w:w="994" w:type="pct"/>
            <w:tcBorders>
              <w:top w:val="nil"/>
              <w:left w:val="single" w:color="auto" w:sz="4" w:space="0"/>
              <w:bottom w:val="single" w:color="auto" w:sz="4" w:space="0"/>
              <w:right w:val="single" w:color="auto" w:sz="4" w:space="0"/>
            </w:tcBorders>
            <w:vAlign w:val="center"/>
          </w:tcPr>
          <w:p w14:paraId="585CB57B">
            <w:pPr>
              <w:widowControl/>
              <w:spacing w:line="240" w:lineRule="auto"/>
              <w:ind w:firstLine="0" w:firstLineChars="0"/>
              <w:jc w:val="left"/>
              <w:rPr>
                <w:rFonts w:hint="eastAsia" w:ascii="仿宋" w:hAnsi="仿宋"/>
                <w:color w:val="000000"/>
                <w:szCs w:val="24"/>
              </w:rPr>
            </w:pPr>
            <w:r>
              <w:rPr>
                <w:rFonts w:ascii="仿宋" w:hAnsi="仿宋"/>
                <w:color w:val="000000"/>
                <w:szCs w:val="24"/>
              </w:rPr>
              <w:t>其他提醒</w:t>
            </w:r>
          </w:p>
        </w:tc>
        <w:tc>
          <w:tcPr>
            <w:tcW w:w="2506" w:type="pct"/>
            <w:tcBorders>
              <w:top w:val="nil"/>
              <w:left w:val="nil"/>
              <w:bottom w:val="single" w:color="auto" w:sz="4" w:space="0"/>
              <w:right w:val="single" w:color="auto" w:sz="4" w:space="0"/>
            </w:tcBorders>
          </w:tcPr>
          <w:p w14:paraId="77AB18F4">
            <w:pPr>
              <w:spacing w:line="240" w:lineRule="auto"/>
              <w:ind w:firstLine="0" w:firstLineChars="0"/>
              <w:jc w:val="left"/>
              <w:rPr>
                <w:rFonts w:hint="eastAsia" w:ascii="仿宋" w:hAnsi="仿宋"/>
                <w:color w:val="000000"/>
                <w:szCs w:val="24"/>
              </w:rPr>
            </w:pPr>
            <w:r>
              <w:rPr>
                <w:rFonts w:ascii="仿宋" w:hAnsi="仿宋"/>
                <w:color w:val="000000"/>
                <w:szCs w:val="24"/>
              </w:rPr>
              <w:t>处方/医嘱中肿瘤注射药品需要避光输注、冲管的，提醒医生用药需要注意该问题；</w:t>
            </w:r>
          </w:p>
          <w:p w14:paraId="79E950B5">
            <w:pPr>
              <w:spacing w:line="240" w:lineRule="auto"/>
              <w:ind w:firstLine="0" w:firstLineChars="0"/>
              <w:jc w:val="left"/>
              <w:rPr>
                <w:rFonts w:hint="eastAsia" w:ascii="仿宋" w:hAnsi="仿宋"/>
                <w:color w:val="000000"/>
                <w:szCs w:val="24"/>
              </w:rPr>
            </w:pPr>
            <w:r>
              <w:rPr>
                <w:rFonts w:ascii="仿宋" w:hAnsi="仿宋"/>
                <w:color w:val="000000"/>
                <w:szCs w:val="24"/>
              </w:rPr>
              <w:t>处方/医嘱中肿瘤注射药品有特殊的滴速、输注速度，告知医生其适宜的滴速、输注速度。</w:t>
            </w:r>
          </w:p>
          <w:p w14:paraId="06CA2A91">
            <w:pPr>
              <w:widowControl/>
              <w:spacing w:line="240" w:lineRule="auto"/>
              <w:ind w:firstLine="24" w:firstLineChars="10"/>
              <w:jc w:val="left"/>
              <w:rPr>
                <w:rFonts w:hint="eastAsia" w:ascii="仿宋" w:hAnsi="仿宋"/>
                <w:color w:val="000000"/>
                <w:szCs w:val="24"/>
              </w:rPr>
            </w:pPr>
            <w:r>
              <w:rPr>
                <w:rFonts w:ascii="仿宋" w:hAnsi="仿宋"/>
                <w:color w:val="000000"/>
                <w:szCs w:val="24"/>
              </w:rPr>
              <w:t>备注：在某类药品上直接编辑提示规则，不论医生对药品的使用正确与否，均给予提示。</w:t>
            </w:r>
          </w:p>
        </w:tc>
        <w:tc>
          <w:tcPr>
            <w:tcW w:w="455" w:type="pct"/>
            <w:tcBorders>
              <w:top w:val="nil"/>
              <w:left w:val="nil"/>
              <w:bottom w:val="single" w:color="auto" w:sz="4" w:space="0"/>
              <w:right w:val="single" w:color="auto" w:sz="4" w:space="0"/>
            </w:tcBorders>
            <w:vAlign w:val="center"/>
          </w:tcPr>
          <w:p w14:paraId="14CFA511">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1EA48801">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1566EA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1.1.2.15</w:t>
            </w:r>
          </w:p>
        </w:tc>
        <w:tc>
          <w:tcPr>
            <w:tcW w:w="994" w:type="pct"/>
            <w:tcBorders>
              <w:top w:val="nil"/>
              <w:left w:val="single" w:color="auto" w:sz="4" w:space="0"/>
              <w:bottom w:val="single" w:color="auto" w:sz="4" w:space="0"/>
              <w:right w:val="single" w:color="auto" w:sz="4" w:space="0"/>
            </w:tcBorders>
            <w:vAlign w:val="center"/>
          </w:tcPr>
          <w:p w14:paraId="1BE0C66E">
            <w:pPr>
              <w:widowControl/>
              <w:spacing w:line="240" w:lineRule="auto"/>
              <w:ind w:firstLine="0" w:firstLineChars="0"/>
              <w:jc w:val="left"/>
              <w:rPr>
                <w:rFonts w:hint="eastAsia" w:ascii="仿宋" w:hAnsi="仿宋"/>
                <w:color w:val="000000"/>
                <w:szCs w:val="24"/>
              </w:rPr>
            </w:pPr>
            <w:r>
              <w:rPr>
                <w:rFonts w:ascii="仿宋" w:hAnsi="仿宋"/>
                <w:color w:val="000000"/>
                <w:szCs w:val="24"/>
              </w:rPr>
              <w:t>中药饮片的审查</w:t>
            </w:r>
          </w:p>
        </w:tc>
        <w:tc>
          <w:tcPr>
            <w:tcW w:w="2506" w:type="pct"/>
            <w:tcBorders>
              <w:top w:val="nil"/>
              <w:left w:val="nil"/>
              <w:bottom w:val="single" w:color="auto" w:sz="4" w:space="0"/>
              <w:right w:val="single" w:color="auto" w:sz="4" w:space="0"/>
            </w:tcBorders>
          </w:tcPr>
          <w:p w14:paraId="19292CE0">
            <w:pPr>
              <w:spacing w:line="240" w:lineRule="auto"/>
              <w:ind w:firstLine="0" w:firstLineChars="0"/>
              <w:jc w:val="left"/>
              <w:rPr>
                <w:rFonts w:hint="eastAsia" w:ascii="仿宋" w:hAnsi="仿宋"/>
                <w:color w:val="000000"/>
                <w:szCs w:val="24"/>
              </w:rPr>
            </w:pPr>
            <w:r>
              <w:rPr>
                <w:rFonts w:ascii="仿宋" w:hAnsi="仿宋"/>
                <w:color w:val="000000"/>
                <w:szCs w:val="24"/>
              </w:rPr>
              <w:t>实现饮片十八反、十九畏的配伍管控；</w:t>
            </w:r>
          </w:p>
          <w:p w14:paraId="5BAB48B8">
            <w:pPr>
              <w:spacing w:line="240" w:lineRule="auto"/>
              <w:ind w:firstLine="0" w:firstLineChars="0"/>
              <w:jc w:val="left"/>
              <w:rPr>
                <w:rFonts w:hint="eastAsia" w:ascii="仿宋" w:hAnsi="仿宋"/>
                <w:color w:val="000000"/>
                <w:szCs w:val="24"/>
              </w:rPr>
            </w:pPr>
            <w:r>
              <w:rPr>
                <w:rFonts w:ascii="仿宋" w:hAnsi="仿宋"/>
                <w:color w:val="000000"/>
                <w:szCs w:val="24"/>
              </w:rPr>
              <w:t>审查毒性饮片用药剂量是否超过药典推荐的剂量上限范围；</w:t>
            </w:r>
          </w:p>
          <w:p w14:paraId="55118F49">
            <w:pPr>
              <w:spacing w:line="240" w:lineRule="auto"/>
              <w:ind w:firstLine="0" w:firstLineChars="0"/>
              <w:jc w:val="left"/>
              <w:rPr>
                <w:rFonts w:hint="eastAsia" w:ascii="仿宋" w:hAnsi="仿宋"/>
                <w:color w:val="000000"/>
                <w:szCs w:val="24"/>
              </w:rPr>
            </w:pPr>
            <w:r>
              <w:rPr>
                <w:rFonts w:ascii="仿宋" w:hAnsi="仿宋"/>
                <w:color w:val="000000"/>
                <w:szCs w:val="24"/>
              </w:rPr>
              <w:t>审查是否存在药典规定的孕期禁止使用的饮片；</w:t>
            </w:r>
          </w:p>
          <w:p w14:paraId="1DB2D88F">
            <w:pPr>
              <w:spacing w:line="240" w:lineRule="auto"/>
              <w:ind w:firstLine="0" w:firstLineChars="0"/>
              <w:jc w:val="left"/>
              <w:rPr>
                <w:rFonts w:hint="eastAsia" w:ascii="仿宋" w:hAnsi="仿宋"/>
                <w:color w:val="000000"/>
                <w:szCs w:val="24"/>
              </w:rPr>
            </w:pPr>
            <w:r>
              <w:rPr>
                <w:rFonts w:ascii="仿宋" w:hAnsi="仿宋"/>
                <w:color w:val="000000"/>
                <w:szCs w:val="24"/>
              </w:rPr>
              <w:t>审查外用饮片与药典不匹配的给药途径；</w:t>
            </w:r>
          </w:p>
          <w:p w14:paraId="712AB525">
            <w:pPr>
              <w:widowControl/>
              <w:spacing w:line="240" w:lineRule="auto"/>
              <w:ind w:firstLine="24" w:firstLineChars="10"/>
              <w:jc w:val="left"/>
              <w:rPr>
                <w:rFonts w:hint="eastAsia" w:ascii="仿宋" w:hAnsi="仿宋"/>
                <w:color w:val="000000"/>
                <w:szCs w:val="24"/>
              </w:rPr>
            </w:pPr>
            <w:r>
              <w:rPr>
                <w:rFonts w:ascii="仿宋" w:hAnsi="仿宋"/>
                <w:color w:val="000000"/>
                <w:szCs w:val="24"/>
              </w:rPr>
              <w:t>实现肾功能不全、肝功能不全谨慎使用与禁止作用的饮片管控。</w:t>
            </w:r>
          </w:p>
        </w:tc>
        <w:tc>
          <w:tcPr>
            <w:tcW w:w="455" w:type="pct"/>
            <w:tcBorders>
              <w:top w:val="nil"/>
              <w:left w:val="nil"/>
              <w:bottom w:val="single" w:color="auto" w:sz="4" w:space="0"/>
              <w:right w:val="single" w:color="auto" w:sz="4" w:space="0"/>
            </w:tcBorders>
            <w:vAlign w:val="center"/>
          </w:tcPr>
          <w:p w14:paraId="0E744C6C">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4B725B2C">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29024DC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1.1.2.16</w:t>
            </w:r>
          </w:p>
        </w:tc>
        <w:tc>
          <w:tcPr>
            <w:tcW w:w="994" w:type="pct"/>
            <w:tcBorders>
              <w:top w:val="nil"/>
              <w:left w:val="single" w:color="auto" w:sz="4" w:space="0"/>
              <w:bottom w:val="single" w:color="auto" w:sz="4" w:space="0"/>
              <w:right w:val="single" w:color="auto" w:sz="4" w:space="0"/>
            </w:tcBorders>
            <w:vAlign w:val="center"/>
          </w:tcPr>
          <w:p w14:paraId="586DB237">
            <w:pPr>
              <w:widowControl/>
              <w:spacing w:line="240" w:lineRule="auto"/>
              <w:ind w:firstLine="0" w:firstLineChars="0"/>
              <w:jc w:val="left"/>
              <w:rPr>
                <w:rFonts w:hint="eastAsia" w:ascii="仿宋" w:hAnsi="仿宋"/>
                <w:color w:val="000000"/>
                <w:szCs w:val="24"/>
              </w:rPr>
            </w:pPr>
            <w:r>
              <w:rPr>
                <w:rFonts w:ascii="仿宋" w:hAnsi="仿宋"/>
                <w:color w:val="000000"/>
                <w:szCs w:val="24"/>
              </w:rPr>
              <w:t>抗菌药物管理</w:t>
            </w:r>
          </w:p>
        </w:tc>
        <w:tc>
          <w:tcPr>
            <w:tcW w:w="2506" w:type="pct"/>
            <w:tcBorders>
              <w:top w:val="nil"/>
              <w:left w:val="nil"/>
              <w:bottom w:val="single" w:color="auto" w:sz="4" w:space="0"/>
              <w:right w:val="single" w:color="auto" w:sz="4" w:space="0"/>
            </w:tcBorders>
          </w:tcPr>
          <w:p w14:paraId="035ABE4D">
            <w:pPr>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ascii="仿宋" w:hAnsi="仿宋"/>
                <w:color w:val="000000"/>
                <w:szCs w:val="24"/>
              </w:rPr>
              <w:t>提供规则模板，可按《抗菌药物临床应用指导原则(2015年版)》实现抗菌药物越权用药的管控；</w:t>
            </w:r>
          </w:p>
          <w:p w14:paraId="4B434D0A">
            <w:pPr>
              <w:widowControl/>
              <w:spacing w:line="240" w:lineRule="auto"/>
              <w:ind w:firstLine="24" w:firstLineChars="10"/>
              <w:jc w:val="left"/>
              <w:rPr>
                <w:rFonts w:hint="eastAsia" w:ascii="仿宋" w:hAnsi="仿宋"/>
                <w:color w:val="000000"/>
                <w:szCs w:val="24"/>
              </w:rPr>
            </w:pPr>
            <w:r>
              <w:rPr>
                <w:rFonts w:ascii="仿宋" w:hAnsi="仿宋"/>
                <w:color w:val="000000"/>
                <w:szCs w:val="24"/>
              </w:rPr>
              <w:t>实现处方/医嘱中是否存在作用机制相同药品重复应用的审查（同重复用药）。</w:t>
            </w:r>
          </w:p>
        </w:tc>
        <w:tc>
          <w:tcPr>
            <w:tcW w:w="455" w:type="pct"/>
            <w:tcBorders>
              <w:top w:val="nil"/>
              <w:left w:val="nil"/>
              <w:bottom w:val="single" w:color="auto" w:sz="4" w:space="0"/>
              <w:right w:val="single" w:color="auto" w:sz="4" w:space="0"/>
            </w:tcBorders>
            <w:vAlign w:val="center"/>
          </w:tcPr>
          <w:p w14:paraId="6FEF53E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A444BB7">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D207ED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1.1.2.17</w:t>
            </w:r>
          </w:p>
        </w:tc>
        <w:tc>
          <w:tcPr>
            <w:tcW w:w="994" w:type="pct"/>
            <w:tcBorders>
              <w:top w:val="nil"/>
              <w:left w:val="single" w:color="auto" w:sz="4" w:space="0"/>
              <w:bottom w:val="single" w:color="auto" w:sz="4" w:space="0"/>
              <w:right w:val="single" w:color="auto" w:sz="4" w:space="0"/>
            </w:tcBorders>
            <w:vAlign w:val="center"/>
          </w:tcPr>
          <w:p w14:paraId="62B033AF">
            <w:pPr>
              <w:widowControl/>
              <w:spacing w:line="240" w:lineRule="auto"/>
              <w:ind w:firstLine="0" w:firstLineChars="0"/>
              <w:jc w:val="left"/>
              <w:rPr>
                <w:rFonts w:hint="eastAsia" w:ascii="仿宋" w:hAnsi="仿宋"/>
                <w:color w:val="000000"/>
                <w:szCs w:val="24"/>
              </w:rPr>
            </w:pPr>
            <w:r>
              <w:rPr>
                <w:rFonts w:ascii="仿宋" w:hAnsi="仿宋"/>
                <w:color w:val="000000"/>
                <w:szCs w:val="24"/>
              </w:rPr>
              <w:t>精、麻、毒、放、高危等药品的审查</w:t>
            </w:r>
          </w:p>
        </w:tc>
        <w:tc>
          <w:tcPr>
            <w:tcW w:w="2506" w:type="pct"/>
            <w:tcBorders>
              <w:top w:val="nil"/>
              <w:left w:val="nil"/>
              <w:bottom w:val="single" w:color="auto" w:sz="4" w:space="0"/>
              <w:right w:val="single" w:color="auto" w:sz="4" w:space="0"/>
            </w:tcBorders>
          </w:tcPr>
          <w:p w14:paraId="1CBBB863">
            <w:pPr>
              <w:spacing w:line="240" w:lineRule="auto"/>
              <w:ind w:firstLine="0" w:firstLineChars="0"/>
              <w:jc w:val="left"/>
              <w:rPr>
                <w:rFonts w:hint="eastAsia" w:ascii="仿宋" w:hAnsi="仿宋"/>
                <w:color w:val="000000"/>
                <w:szCs w:val="24"/>
              </w:rPr>
            </w:pPr>
            <w:r>
              <w:rPr>
                <w:rFonts w:ascii="仿宋" w:hAnsi="仿宋"/>
                <w:color w:val="000000"/>
                <w:szCs w:val="24"/>
              </w:rPr>
              <w:t>对已上市精、麻、毒、放、高危药品，维护精神药品、麻醉药品、毒性药品、放射性药品、高危药品的属性标志，用户可采用属性进行规则自定义，实现相关药品的管控；</w:t>
            </w:r>
          </w:p>
          <w:p w14:paraId="689D7272">
            <w:pPr>
              <w:spacing w:line="240" w:lineRule="auto"/>
              <w:ind w:firstLine="0" w:firstLineChars="0"/>
              <w:jc w:val="left"/>
              <w:rPr>
                <w:rFonts w:hint="eastAsia" w:ascii="仿宋" w:hAnsi="仿宋"/>
                <w:color w:val="000000"/>
                <w:szCs w:val="24"/>
              </w:rPr>
            </w:pPr>
            <w:r>
              <w:rPr>
                <w:rFonts w:ascii="仿宋" w:hAnsi="仿宋"/>
                <w:color w:val="000000"/>
                <w:szCs w:val="24"/>
              </w:rPr>
              <w:t>提供一类、二类精神药品管控规则模板，可按《处方管理办法》实现用药疗程天数管控；</w:t>
            </w:r>
          </w:p>
          <w:p w14:paraId="7B3C805D">
            <w:pPr>
              <w:spacing w:line="240" w:lineRule="auto"/>
              <w:ind w:firstLine="0" w:firstLineChars="0"/>
              <w:jc w:val="left"/>
              <w:rPr>
                <w:rFonts w:hint="eastAsia" w:ascii="仿宋" w:hAnsi="仿宋"/>
                <w:color w:val="000000"/>
                <w:szCs w:val="24"/>
              </w:rPr>
            </w:pPr>
            <w:r>
              <w:rPr>
                <w:rFonts w:ascii="仿宋" w:hAnsi="仿宋"/>
                <w:color w:val="000000"/>
                <w:szCs w:val="24"/>
              </w:rPr>
              <w:t>提供麻醉药品提供管控规则模板，可按《处方管理办法》实现用药疗程天数的管控；</w:t>
            </w:r>
          </w:p>
          <w:p w14:paraId="5B1560C7">
            <w:pPr>
              <w:widowControl/>
              <w:spacing w:line="240" w:lineRule="auto"/>
              <w:ind w:firstLine="24" w:firstLineChars="10"/>
              <w:jc w:val="left"/>
              <w:rPr>
                <w:rFonts w:hint="eastAsia" w:ascii="仿宋" w:hAnsi="仿宋"/>
                <w:color w:val="000000"/>
                <w:szCs w:val="24"/>
              </w:rPr>
            </w:pPr>
            <w:r>
              <w:rPr>
                <w:rFonts w:ascii="仿宋" w:hAnsi="仿宋"/>
                <w:color w:val="000000"/>
                <w:szCs w:val="24"/>
              </w:rPr>
              <w:t>对于麻醉药品缓控释制剂（如芬太尼贴剂、硫酸吗啡控释片、盐酸羟考酮缓释片、盐酸羟考酮控释片等），实现不同品种药品重复使用的审查。</w:t>
            </w:r>
          </w:p>
        </w:tc>
        <w:tc>
          <w:tcPr>
            <w:tcW w:w="455" w:type="pct"/>
            <w:tcBorders>
              <w:top w:val="nil"/>
              <w:left w:val="nil"/>
              <w:bottom w:val="single" w:color="auto" w:sz="4" w:space="0"/>
              <w:right w:val="single" w:color="auto" w:sz="4" w:space="0"/>
            </w:tcBorders>
            <w:vAlign w:val="center"/>
          </w:tcPr>
          <w:p w14:paraId="5E2E88D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CE068B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65622DE1">
            <w:pPr>
              <w:widowControl/>
              <w:spacing w:line="240" w:lineRule="auto"/>
              <w:ind w:firstLine="0" w:firstLineChars="0"/>
              <w:jc w:val="left"/>
              <w:rPr>
                <w:rFonts w:hint="eastAsia" w:ascii="仿宋" w:hAnsi="仿宋" w:eastAsia="仿宋" w:cs="宋体"/>
                <w:color w:val="000000"/>
                <w:szCs w:val="24"/>
                <w:lang w:eastAsia="zh-CN"/>
              </w:rPr>
            </w:pPr>
            <w:r>
              <w:rPr>
                <w:rFonts w:hint="eastAsia" w:ascii="仿宋" w:hAnsi="仿宋" w:cs="宋体"/>
                <w:color w:val="000000"/>
                <w:szCs w:val="24"/>
              </w:rPr>
              <w:t>1.1.2.1</w:t>
            </w:r>
            <w:r>
              <w:rPr>
                <w:rFonts w:hint="eastAsia" w:ascii="仿宋" w:hAnsi="仿宋" w:cs="宋体"/>
                <w:color w:val="000000"/>
                <w:szCs w:val="24"/>
                <w:lang w:val="en-US" w:eastAsia="zh-CN"/>
              </w:rPr>
              <w:t>8</w:t>
            </w:r>
          </w:p>
        </w:tc>
        <w:tc>
          <w:tcPr>
            <w:tcW w:w="994" w:type="pct"/>
            <w:tcBorders>
              <w:top w:val="nil"/>
              <w:left w:val="single" w:color="auto" w:sz="4" w:space="0"/>
              <w:bottom w:val="single" w:color="auto" w:sz="4" w:space="0"/>
              <w:right w:val="single" w:color="auto" w:sz="4" w:space="0"/>
            </w:tcBorders>
            <w:vAlign w:val="center"/>
          </w:tcPr>
          <w:p w14:paraId="0286FFB6">
            <w:pPr>
              <w:widowControl/>
              <w:spacing w:line="240" w:lineRule="auto"/>
              <w:ind w:firstLine="0" w:firstLineChars="0"/>
              <w:jc w:val="left"/>
              <w:rPr>
                <w:rFonts w:hint="eastAsia" w:ascii="仿宋" w:hAnsi="仿宋"/>
                <w:color w:val="000000"/>
                <w:szCs w:val="24"/>
              </w:rPr>
            </w:pPr>
            <w:r>
              <w:rPr>
                <w:rFonts w:ascii="仿宋" w:hAnsi="仿宋"/>
                <w:color w:val="000000"/>
                <w:szCs w:val="24"/>
              </w:rPr>
              <w:t>自定义合理性审查规则</w:t>
            </w:r>
          </w:p>
        </w:tc>
        <w:tc>
          <w:tcPr>
            <w:tcW w:w="2506" w:type="pct"/>
            <w:tcBorders>
              <w:top w:val="nil"/>
              <w:left w:val="nil"/>
              <w:bottom w:val="single" w:color="auto" w:sz="4" w:space="0"/>
              <w:right w:val="single" w:color="auto" w:sz="4" w:space="0"/>
            </w:tcBorders>
          </w:tcPr>
          <w:p w14:paraId="100C9CF9">
            <w:pPr>
              <w:spacing w:line="240" w:lineRule="auto"/>
              <w:ind w:firstLine="0" w:firstLineChars="0"/>
              <w:jc w:val="left"/>
              <w:rPr>
                <w:rFonts w:hint="eastAsia" w:ascii="仿宋" w:hAnsi="仿宋"/>
                <w:color w:val="000000"/>
                <w:szCs w:val="24"/>
              </w:rPr>
            </w:pPr>
            <w:r>
              <w:rPr>
                <w:rFonts w:ascii="仿宋" w:hAnsi="仿宋"/>
                <w:color w:val="000000"/>
                <w:szCs w:val="24"/>
              </w:rPr>
              <w:t>支持用户自定义药品规则，能够对所有使用规则（包括引用自说明书规则集的规则和本院自定义的规则）进行新增、修改和删除，实现对用药适应症、禁忌症、用法用量、给药途径、相互作用、重复用药、特殊人群、配伍、过敏、不良反应等精准审查，规则审核后立即生效（不需要重启服务器）；</w:t>
            </w:r>
          </w:p>
          <w:p w14:paraId="4EEEA43F">
            <w:pPr>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ascii="仿宋" w:hAnsi="仿宋"/>
                <w:color w:val="000000"/>
                <w:szCs w:val="24"/>
              </w:rPr>
              <w:t>提供130+判断条件，支持用户自定义编辑复杂规则判断，使药品的使用更加符合用户的实际用药情况；</w:t>
            </w:r>
          </w:p>
          <w:p w14:paraId="341FE0AD">
            <w:pPr>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ascii="仿宋" w:hAnsi="仿宋"/>
                <w:color w:val="000000"/>
                <w:szCs w:val="24"/>
              </w:rPr>
              <w:t>提供40+代表药品特点的属性（如单胺氧化酶抑制剂、磺胺结构类药品），支持用户在自定义规则中使用；</w:t>
            </w:r>
          </w:p>
          <w:p w14:paraId="45FB13E1">
            <w:pPr>
              <w:spacing w:line="240" w:lineRule="auto"/>
              <w:ind w:firstLine="0" w:firstLineChars="0"/>
              <w:jc w:val="left"/>
              <w:rPr>
                <w:rFonts w:hint="eastAsia" w:ascii="仿宋" w:hAnsi="仿宋"/>
                <w:color w:val="000000"/>
                <w:szCs w:val="24"/>
              </w:rPr>
            </w:pPr>
            <w:r>
              <w:rPr>
                <w:rFonts w:ascii="仿宋" w:hAnsi="仿宋"/>
                <w:color w:val="000000"/>
                <w:szCs w:val="24"/>
              </w:rPr>
              <w:t>支持用户自定义规则，可实现对q8h，q12h，q6h等特殊给药频率合理性的审查；</w:t>
            </w:r>
          </w:p>
          <w:p w14:paraId="4C368012">
            <w:pPr>
              <w:spacing w:line="240" w:lineRule="auto"/>
              <w:ind w:firstLine="0" w:firstLineChars="0"/>
              <w:jc w:val="left"/>
              <w:rPr>
                <w:rFonts w:hint="eastAsia" w:ascii="仿宋" w:hAnsi="仿宋"/>
                <w:color w:val="000000"/>
                <w:szCs w:val="24"/>
              </w:rPr>
            </w:pPr>
            <w:r>
              <w:rPr>
                <w:rFonts w:ascii="仿宋" w:hAnsi="仿宋"/>
                <w:color w:val="000000"/>
                <w:szCs w:val="24"/>
              </w:rPr>
              <w:t>提供69个条件（如检验指标肌酐）的“为空”判断（即未获得病人的该类信息），支持用户在自定义规则中使用，避免审查时存在缺陷；</w:t>
            </w:r>
          </w:p>
          <w:p w14:paraId="61DC0A81">
            <w:pPr>
              <w:spacing w:line="240" w:lineRule="auto"/>
              <w:ind w:firstLine="0" w:firstLineChars="0"/>
              <w:jc w:val="left"/>
              <w:rPr>
                <w:rFonts w:hint="eastAsia" w:ascii="仿宋" w:hAnsi="仿宋"/>
                <w:color w:val="000000"/>
                <w:szCs w:val="24"/>
              </w:rPr>
            </w:pPr>
            <w:r>
              <w:rPr>
                <w:rFonts w:ascii="仿宋" w:hAnsi="仿宋"/>
                <w:color w:val="000000"/>
                <w:szCs w:val="24"/>
              </w:rPr>
              <w:t>提供中药颗粒目录，支持用户自定义规则，可以进行相应的管控；</w:t>
            </w:r>
          </w:p>
          <w:p w14:paraId="518BDA24">
            <w:pPr>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ascii="仿宋" w:hAnsi="仿宋"/>
                <w:color w:val="000000"/>
                <w:szCs w:val="24"/>
              </w:rPr>
              <w:t>支持用户在自定义药品规则时，采用病人特征字典表达病人疾病情况。系统提供2500+个病人特征（如高血压、妊娠期妇女，已覆盖21个疾病）及其定义的规则，其规则可采用诊断、检验、手术等信息进行定义，已可基本满足已上市药品合理性审查（与西医诊断关联）时所需的病人特征；支持用户查看病人特征定义的规则，根据医院不同的管控需求，用户可对系统病人特征定义的规则进行修改或添加新的病人特征并自定义其规则。修改后，使用该病人特征的药品审查规则也会同时调整；并可快速查看该“病人特征”在药品适应症、禁忌症、用法用量、疗程、肝功能、肾功能、孕产等审查规则中的应用，可对规则的正确性进行校验；</w:t>
            </w:r>
          </w:p>
          <w:p w14:paraId="7D3C8AC4">
            <w:pPr>
              <w:widowControl/>
              <w:spacing w:line="240" w:lineRule="auto"/>
              <w:ind w:firstLine="24" w:firstLineChars="10"/>
              <w:jc w:val="left"/>
              <w:rPr>
                <w:rFonts w:hint="eastAsia" w:ascii="仿宋" w:hAnsi="仿宋"/>
                <w:color w:val="000000"/>
                <w:szCs w:val="24"/>
              </w:rPr>
            </w:pPr>
            <w:r>
              <w:rPr>
                <w:rFonts w:hint="eastAsia" w:ascii="仿宋" w:hAnsi="仿宋"/>
                <w:color w:val="EE0000"/>
                <w:szCs w:val="24"/>
                <w:lang w:eastAsia="zh-CN"/>
              </w:rPr>
              <w:t xml:space="preserve">  </w:t>
            </w:r>
            <w:r>
              <w:rPr>
                <w:rFonts w:ascii="仿宋" w:hAnsi="仿宋"/>
                <w:color w:val="000000"/>
                <w:szCs w:val="24"/>
              </w:rPr>
              <w:t>系统支持自定义规则审核后立即生效（不需要重启服务器）；可快速实现处方/医嘱的干预、查询、分析和统计。</w:t>
            </w:r>
          </w:p>
        </w:tc>
        <w:tc>
          <w:tcPr>
            <w:tcW w:w="455" w:type="pct"/>
            <w:tcBorders>
              <w:top w:val="nil"/>
              <w:left w:val="nil"/>
              <w:bottom w:val="single" w:color="auto" w:sz="4" w:space="0"/>
              <w:right w:val="single" w:color="auto" w:sz="4" w:space="0"/>
            </w:tcBorders>
            <w:vAlign w:val="center"/>
          </w:tcPr>
          <w:p w14:paraId="16A46C6E">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34C3C5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81EFE05">
            <w:pPr>
              <w:widowControl/>
              <w:spacing w:line="240" w:lineRule="auto"/>
              <w:ind w:firstLine="0" w:firstLineChars="0"/>
              <w:jc w:val="left"/>
              <w:rPr>
                <w:rFonts w:hint="default" w:ascii="仿宋" w:hAnsi="仿宋" w:eastAsia="仿宋" w:cs="宋体"/>
                <w:color w:val="000000"/>
                <w:szCs w:val="24"/>
                <w:lang w:val="en-US" w:eastAsia="zh-CN"/>
              </w:rPr>
            </w:pPr>
            <w:r>
              <w:rPr>
                <w:rFonts w:hint="eastAsia" w:ascii="仿宋" w:hAnsi="仿宋" w:cs="宋体"/>
                <w:color w:val="000000"/>
                <w:szCs w:val="24"/>
              </w:rPr>
              <w:t>1.1.2.</w:t>
            </w:r>
            <w:r>
              <w:rPr>
                <w:rFonts w:hint="eastAsia" w:ascii="仿宋" w:hAnsi="仿宋" w:cs="宋体"/>
                <w:color w:val="000000"/>
                <w:szCs w:val="24"/>
                <w:lang w:val="en-US" w:eastAsia="zh-CN"/>
              </w:rPr>
              <w:t>19</w:t>
            </w:r>
          </w:p>
        </w:tc>
        <w:tc>
          <w:tcPr>
            <w:tcW w:w="994" w:type="pct"/>
            <w:tcBorders>
              <w:top w:val="nil"/>
              <w:left w:val="single" w:color="auto" w:sz="4" w:space="0"/>
              <w:bottom w:val="single" w:color="auto" w:sz="4" w:space="0"/>
              <w:right w:val="single" w:color="auto" w:sz="4" w:space="0"/>
            </w:tcBorders>
            <w:vAlign w:val="center"/>
          </w:tcPr>
          <w:p w14:paraId="2803B3C0">
            <w:pPr>
              <w:widowControl/>
              <w:spacing w:line="240" w:lineRule="auto"/>
              <w:ind w:firstLine="0" w:firstLineChars="0"/>
              <w:jc w:val="left"/>
              <w:rPr>
                <w:rFonts w:hint="eastAsia" w:ascii="仿宋" w:hAnsi="仿宋"/>
                <w:color w:val="000000"/>
                <w:szCs w:val="24"/>
              </w:rPr>
            </w:pPr>
            <w:r>
              <w:rPr>
                <w:rFonts w:ascii="仿宋" w:hAnsi="仿宋"/>
                <w:color w:val="000000"/>
                <w:szCs w:val="24"/>
              </w:rPr>
              <w:t>自定义管理规则</w:t>
            </w:r>
          </w:p>
        </w:tc>
        <w:tc>
          <w:tcPr>
            <w:tcW w:w="2506" w:type="pct"/>
            <w:tcBorders>
              <w:top w:val="nil"/>
              <w:left w:val="nil"/>
              <w:bottom w:val="single" w:color="auto" w:sz="4" w:space="0"/>
              <w:right w:val="single" w:color="auto" w:sz="4" w:space="0"/>
            </w:tcBorders>
          </w:tcPr>
          <w:p w14:paraId="31138D7D">
            <w:pPr>
              <w:spacing w:line="240" w:lineRule="auto"/>
              <w:ind w:firstLine="0" w:firstLineChars="0"/>
              <w:jc w:val="left"/>
              <w:rPr>
                <w:rFonts w:hint="eastAsia" w:ascii="仿宋" w:hAnsi="仿宋"/>
                <w:color w:val="000000"/>
                <w:szCs w:val="24"/>
              </w:rPr>
            </w:pPr>
            <w:r>
              <w:rPr>
                <w:rFonts w:ascii="仿宋" w:hAnsi="仿宋"/>
                <w:color w:val="000000"/>
                <w:szCs w:val="24"/>
              </w:rPr>
              <w:t>支持用户自定义管理规则，实现对整体用药的管控，包括门、急诊处方药品超多日用量、门诊输液审查（可限定科室、疾病）；药品品种（名称和品种数）、药品发药数量、处方金额、中药饮片帖数、中药饮片味数等（可限定患者病历号、处方时间、科室、来源（门诊、急诊或住院）等；</w:t>
            </w:r>
          </w:p>
          <w:p w14:paraId="5627CBDA">
            <w:pPr>
              <w:spacing w:line="240" w:lineRule="auto"/>
              <w:ind w:firstLine="0" w:firstLineChars="0"/>
              <w:jc w:val="left"/>
              <w:rPr>
                <w:rFonts w:hint="eastAsia" w:ascii="仿宋" w:hAnsi="仿宋"/>
                <w:color w:val="000000"/>
                <w:szCs w:val="24"/>
              </w:rPr>
            </w:pPr>
            <w:r>
              <w:rPr>
                <w:rFonts w:ascii="仿宋" w:hAnsi="仿宋"/>
                <w:color w:val="000000"/>
                <w:szCs w:val="24"/>
              </w:rPr>
              <w:t>支持用户自定义单病种的用药审查，控制“指定疾病的药品”只能在指定疾病下才能使用；</w:t>
            </w:r>
          </w:p>
          <w:p w14:paraId="4FC4430F">
            <w:pPr>
              <w:widowControl/>
              <w:spacing w:line="240" w:lineRule="auto"/>
              <w:ind w:firstLine="24" w:firstLineChars="10"/>
              <w:jc w:val="left"/>
              <w:rPr>
                <w:rFonts w:hint="eastAsia" w:ascii="仿宋" w:hAnsi="仿宋"/>
                <w:color w:val="000000"/>
                <w:szCs w:val="24"/>
              </w:rPr>
            </w:pPr>
            <w:r>
              <w:rPr>
                <w:rFonts w:ascii="仿宋" w:hAnsi="仿宋"/>
                <w:color w:val="000000"/>
                <w:szCs w:val="24"/>
              </w:rPr>
              <w:t>支持用户自定义医保结算管控规则，控制“指定疾病的医保药品”在未患该疾病患者使用医保结算的管控；例：肝移植患者使用医保结算来采购只限肾移植患者医保结算的药品时，系统支持非肾移植患者须自费使用的审查。</w:t>
            </w:r>
          </w:p>
        </w:tc>
        <w:tc>
          <w:tcPr>
            <w:tcW w:w="455" w:type="pct"/>
            <w:tcBorders>
              <w:top w:val="nil"/>
              <w:left w:val="nil"/>
              <w:bottom w:val="single" w:color="auto" w:sz="4" w:space="0"/>
              <w:right w:val="single" w:color="auto" w:sz="4" w:space="0"/>
            </w:tcBorders>
            <w:vAlign w:val="center"/>
          </w:tcPr>
          <w:p w14:paraId="374D80A0">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E648940">
        <w:tblPrEx>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0EB4852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1.1.3 区域合理用药干预功能</w:t>
            </w:r>
          </w:p>
        </w:tc>
      </w:tr>
      <w:tr w14:paraId="37743873">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1F2278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1.1.3.1</w:t>
            </w:r>
          </w:p>
        </w:tc>
        <w:tc>
          <w:tcPr>
            <w:tcW w:w="994" w:type="pct"/>
            <w:tcBorders>
              <w:top w:val="nil"/>
              <w:left w:val="single" w:color="auto" w:sz="4" w:space="0"/>
              <w:bottom w:val="single" w:color="auto" w:sz="4" w:space="0"/>
              <w:right w:val="single" w:color="auto" w:sz="4" w:space="0"/>
            </w:tcBorders>
            <w:vAlign w:val="center"/>
          </w:tcPr>
          <w:p w14:paraId="31E43B1E">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处方/医嘱实时审查</w:t>
            </w:r>
          </w:p>
        </w:tc>
        <w:tc>
          <w:tcPr>
            <w:tcW w:w="2506" w:type="pct"/>
            <w:tcBorders>
              <w:top w:val="nil"/>
              <w:left w:val="nil"/>
              <w:bottom w:val="single" w:color="auto" w:sz="4" w:space="0"/>
              <w:right w:val="single" w:color="auto" w:sz="4" w:space="0"/>
            </w:tcBorders>
            <w:vAlign w:val="center"/>
          </w:tcPr>
          <w:p w14:paraId="1BBCC125">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支持在医生开方阶段对处方/医嘱的用药合理性进行实时审查，并给予医生提示，对于严重的用药问题可以直接在医生端进行拦截；</w:t>
            </w:r>
          </w:p>
          <w:p w14:paraId="334A7AB7">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支持对处方/医嘱中用法用量、相互作用、配伍禁忌、重复用药、禁忌症、适应症、特殊人群用药、妊娠期用药、哺乳期用药、过敏、给药途径等不合理用药情况进行自动审查。</w:t>
            </w:r>
          </w:p>
        </w:tc>
        <w:tc>
          <w:tcPr>
            <w:tcW w:w="455" w:type="pct"/>
            <w:tcBorders>
              <w:top w:val="nil"/>
              <w:left w:val="nil"/>
              <w:bottom w:val="single" w:color="auto" w:sz="4" w:space="0"/>
              <w:right w:val="single" w:color="auto" w:sz="4" w:space="0"/>
            </w:tcBorders>
            <w:vAlign w:val="center"/>
          </w:tcPr>
          <w:p w14:paraId="4B5282E4">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325EFCA">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0A6628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1.1.3.2</w:t>
            </w:r>
          </w:p>
        </w:tc>
        <w:tc>
          <w:tcPr>
            <w:tcW w:w="994" w:type="pct"/>
            <w:tcBorders>
              <w:top w:val="nil"/>
              <w:left w:val="single" w:color="auto" w:sz="4" w:space="0"/>
              <w:bottom w:val="single" w:color="auto" w:sz="4" w:space="0"/>
              <w:right w:val="single" w:color="auto" w:sz="4" w:space="0"/>
            </w:tcBorders>
            <w:vAlign w:val="center"/>
          </w:tcPr>
          <w:p w14:paraId="0A1EAB37">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干预配置功能</w:t>
            </w:r>
          </w:p>
        </w:tc>
        <w:tc>
          <w:tcPr>
            <w:tcW w:w="2506" w:type="pct"/>
            <w:tcBorders>
              <w:top w:val="nil"/>
              <w:left w:val="nil"/>
              <w:bottom w:val="single" w:color="auto" w:sz="4" w:space="0"/>
              <w:right w:val="single" w:color="auto" w:sz="4" w:space="0"/>
            </w:tcBorders>
            <w:vAlign w:val="center"/>
          </w:tcPr>
          <w:p w14:paraId="559B0C1C">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支持设置处方/医嘱用药问题提示的科室及提示信息的类型和等级；</w:t>
            </w:r>
          </w:p>
          <w:p w14:paraId="382C7D2E">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支持门诊按处方或按患者提示医生用药问题，按患者提示即合并患者当日所有有效处方进行审核；</w:t>
            </w:r>
          </w:p>
          <w:p w14:paraId="1DCB1831">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支持门诊跨就诊合并审查，例如合并审查过去7天（可设置）内患者在本院是否已开具过重复处方；</w:t>
            </w:r>
          </w:p>
          <w:p w14:paraId="136BD869">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支持配置住院长期医嘱和临时医嘱之间是否开启重复用药审查；支持配置门诊处方或住院医嘱特殊给药频率（如st、once）是否开启重复用药审查。</w:t>
            </w:r>
          </w:p>
        </w:tc>
        <w:tc>
          <w:tcPr>
            <w:tcW w:w="455" w:type="pct"/>
            <w:tcBorders>
              <w:top w:val="nil"/>
              <w:left w:val="nil"/>
              <w:bottom w:val="single" w:color="auto" w:sz="4" w:space="0"/>
              <w:right w:val="single" w:color="auto" w:sz="4" w:space="0"/>
            </w:tcBorders>
            <w:vAlign w:val="center"/>
          </w:tcPr>
          <w:p w14:paraId="2B59E7FF">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C617E4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16CDD2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1.1.3.3</w:t>
            </w:r>
          </w:p>
        </w:tc>
        <w:tc>
          <w:tcPr>
            <w:tcW w:w="994" w:type="pct"/>
            <w:tcBorders>
              <w:top w:val="nil"/>
              <w:left w:val="single" w:color="auto" w:sz="4" w:space="0"/>
              <w:bottom w:val="single" w:color="auto" w:sz="4" w:space="0"/>
              <w:right w:val="single" w:color="auto" w:sz="4" w:space="0"/>
            </w:tcBorders>
            <w:vAlign w:val="center"/>
          </w:tcPr>
          <w:p w14:paraId="586D8AB8">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处方/医嘱干预结果查询</w:t>
            </w:r>
          </w:p>
        </w:tc>
        <w:tc>
          <w:tcPr>
            <w:tcW w:w="2506" w:type="pct"/>
            <w:tcBorders>
              <w:top w:val="nil"/>
              <w:left w:val="nil"/>
              <w:bottom w:val="single" w:color="auto" w:sz="4" w:space="0"/>
              <w:right w:val="single" w:color="auto" w:sz="4" w:space="0"/>
            </w:tcBorders>
            <w:vAlign w:val="center"/>
          </w:tcPr>
          <w:p w14:paraId="7D6F9559">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支持处方/医嘱及干预结果的自动采集和保存，支持药师实时查看医生开具的处方/医嘱及发生的用药问题；</w:t>
            </w:r>
          </w:p>
          <w:p w14:paraId="3CC175B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支持药师对具体审查结果对应的知识库规则进行确认/待查操作，或对知识库进行修改完善；</w:t>
            </w:r>
          </w:p>
          <w:p w14:paraId="64CE979E">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支持医生登入系统，查看本人的全部问题处方和处方审核结果；支持科主任/医院管理人员登入系统，查看本科室或本院的全部问题处方/医嘱及审核结果。</w:t>
            </w:r>
          </w:p>
        </w:tc>
        <w:tc>
          <w:tcPr>
            <w:tcW w:w="455" w:type="pct"/>
            <w:tcBorders>
              <w:top w:val="nil"/>
              <w:left w:val="nil"/>
              <w:bottom w:val="single" w:color="auto" w:sz="4" w:space="0"/>
              <w:right w:val="single" w:color="auto" w:sz="4" w:space="0"/>
            </w:tcBorders>
            <w:vAlign w:val="center"/>
          </w:tcPr>
          <w:p w14:paraId="649B7EEF">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5F5F03B">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33723E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1.1.3.4</w:t>
            </w:r>
          </w:p>
        </w:tc>
        <w:tc>
          <w:tcPr>
            <w:tcW w:w="994" w:type="pct"/>
            <w:tcBorders>
              <w:top w:val="nil"/>
              <w:left w:val="single" w:color="auto" w:sz="4" w:space="0"/>
              <w:bottom w:val="single" w:color="auto" w:sz="4" w:space="0"/>
              <w:right w:val="single" w:color="auto" w:sz="4" w:space="0"/>
            </w:tcBorders>
            <w:vAlign w:val="center"/>
          </w:tcPr>
          <w:p w14:paraId="7568CC7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干预效果分析</w:t>
            </w:r>
          </w:p>
        </w:tc>
        <w:tc>
          <w:tcPr>
            <w:tcW w:w="2506" w:type="pct"/>
            <w:tcBorders>
              <w:top w:val="nil"/>
              <w:left w:val="nil"/>
              <w:bottom w:val="single" w:color="auto" w:sz="4" w:space="0"/>
              <w:right w:val="single" w:color="auto" w:sz="4" w:space="0"/>
            </w:tcBorders>
            <w:vAlign w:val="center"/>
          </w:tcPr>
          <w:p w14:paraId="507843D3">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支持图表化展示干预效果：</w:t>
            </w:r>
          </w:p>
          <w:p w14:paraId="30CEE3B9">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统计处方数、干预处方数、拦截处方数、审查次数、干预率及拦截率；统计审查次数、干预次数、拦截次数、干预率及拦截率；支持展示干预效果趋势图；支持展示警示信息发生数柱状图；支持展示门诊</w:t>
            </w:r>
            <w:r>
              <w:rPr>
                <w:rFonts w:ascii="仿宋" w:hAnsi="仿宋"/>
                <w:color w:val="000000"/>
                <w:szCs w:val="24"/>
              </w:rPr>
              <w:t>/</w:t>
            </w:r>
            <w:r>
              <w:rPr>
                <w:rFonts w:hint="eastAsia" w:ascii="仿宋" w:hAnsi="仿宋"/>
                <w:color w:val="000000"/>
                <w:szCs w:val="24"/>
              </w:rPr>
              <w:t>住院干预量科室前十名；支持展示警示信息发生数药品前十名。</w:t>
            </w:r>
          </w:p>
          <w:p w14:paraId="0C030388">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支持干预效果分析统计展示，包括：</w:t>
            </w:r>
            <w:r>
              <w:rPr>
                <w:rFonts w:ascii="仿宋" w:hAnsi="仿宋"/>
                <w:color w:val="000000"/>
                <w:szCs w:val="24"/>
              </w:rPr>
              <w:br w:type="textWrapping"/>
            </w:r>
            <w:r>
              <w:rPr>
                <w:rFonts w:hint="eastAsia" w:ascii="仿宋" w:hAnsi="仿宋"/>
                <w:color w:val="000000"/>
                <w:szCs w:val="24"/>
              </w:rPr>
              <w:t>支持按医院</w:t>
            </w:r>
            <w:r>
              <w:rPr>
                <w:rFonts w:ascii="仿宋" w:hAnsi="仿宋"/>
                <w:color w:val="000000"/>
                <w:szCs w:val="24"/>
              </w:rPr>
              <w:t>/</w:t>
            </w:r>
            <w:r>
              <w:rPr>
                <w:rFonts w:hint="eastAsia" w:ascii="仿宋" w:hAnsi="仿宋"/>
                <w:color w:val="000000"/>
                <w:szCs w:val="24"/>
              </w:rPr>
              <w:t>科室</w:t>
            </w:r>
            <w:r>
              <w:rPr>
                <w:rFonts w:ascii="仿宋" w:hAnsi="仿宋"/>
                <w:color w:val="000000"/>
                <w:szCs w:val="24"/>
              </w:rPr>
              <w:t>/</w:t>
            </w:r>
            <w:r>
              <w:rPr>
                <w:rFonts w:hint="eastAsia" w:ascii="仿宋" w:hAnsi="仿宋"/>
                <w:color w:val="000000"/>
                <w:szCs w:val="24"/>
              </w:rPr>
              <w:t>医生维度查看处方总数、审查次数、干预处方数、拦截处方数等指标；</w:t>
            </w:r>
          </w:p>
          <w:p w14:paraId="6AAB2B48">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支持按医院</w:t>
            </w:r>
            <w:r>
              <w:rPr>
                <w:rFonts w:ascii="仿宋" w:hAnsi="仿宋"/>
                <w:color w:val="000000"/>
                <w:szCs w:val="24"/>
              </w:rPr>
              <w:t>/</w:t>
            </w:r>
            <w:r>
              <w:rPr>
                <w:rFonts w:hint="eastAsia" w:ascii="仿宋" w:hAnsi="仿宋"/>
                <w:color w:val="000000"/>
                <w:szCs w:val="24"/>
              </w:rPr>
              <w:t>科室维度查看审查次数、干预次数、拦截次数、干预率及拦截率等指标；</w:t>
            </w:r>
          </w:p>
          <w:p w14:paraId="43A84FCF">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支持按医院</w:t>
            </w:r>
            <w:r>
              <w:rPr>
                <w:rFonts w:ascii="仿宋" w:hAnsi="仿宋"/>
                <w:color w:val="000000"/>
                <w:szCs w:val="24"/>
              </w:rPr>
              <w:t>/</w:t>
            </w:r>
            <w:r>
              <w:rPr>
                <w:rFonts w:hint="eastAsia" w:ascii="仿宋" w:hAnsi="仿宋"/>
                <w:color w:val="000000"/>
                <w:szCs w:val="24"/>
              </w:rPr>
              <w:t>科室</w:t>
            </w:r>
            <w:r>
              <w:rPr>
                <w:rFonts w:ascii="仿宋" w:hAnsi="仿宋"/>
                <w:color w:val="000000"/>
                <w:szCs w:val="24"/>
              </w:rPr>
              <w:t>/</w:t>
            </w:r>
            <w:r>
              <w:rPr>
                <w:rFonts w:hint="eastAsia" w:ascii="仿宋" w:hAnsi="仿宋"/>
                <w:color w:val="000000"/>
                <w:szCs w:val="24"/>
              </w:rPr>
              <w:t>医生维度查看医生对门诊问题处方的处理情况，包括更换药物、修正错误、忽略错误及删除处方的处方数及占比；</w:t>
            </w:r>
          </w:p>
          <w:p w14:paraId="2B0A8C32">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支持按医院</w:t>
            </w:r>
            <w:r>
              <w:rPr>
                <w:rFonts w:ascii="仿宋" w:hAnsi="仿宋"/>
                <w:color w:val="000000"/>
                <w:szCs w:val="24"/>
              </w:rPr>
              <w:t>/</w:t>
            </w:r>
            <w:r>
              <w:rPr>
                <w:rFonts w:hint="eastAsia" w:ascii="仿宋" w:hAnsi="仿宋"/>
                <w:color w:val="000000"/>
                <w:szCs w:val="24"/>
              </w:rPr>
              <w:t>科室</w:t>
            </w:r>
            <w:r>
              <w:rPr>
                <w:rFonts w:ascii="仿宋" w:hAnsi="仿宋"/>
                <w:color w:val="000000"/>
                <w:szCs w:val="24"/>
              </w:rPr>
              <w:t>/</w:t>
            </w:r>
            <w:r>
              <w:rPr>
                <w:rFonts w:hint="eastAsia" w:ascii="仿宋" w:hAnsi="仿宋"/>
                <w:color w:val="000000"/>
                <w:szCs w:val="24"/>
              </w:rPr>
              <w:t>医生查看门诊处方不同等级或类型警示信息的发生次数、发生处方数及占比；</w:t>
            </w:r>
          </w:p>
          <w:p w14:paraId="4EB12564">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支持按医院</w:t>
            </w:r>
            <w:r>
              <w:rPr>
                <w:rFonts w:ascii="仿宋" w:hAnsi="仿宋"/>
                <w:color w:val="000000"/>
                <w:szCs w:val="24"/>
              </w:rPr>
              <w:t>/</w:t>
            </w:r>
            <w:r>
              <w:rPr>
                <w:rFonts w:hint="eastAsia" w:ascii="仿宋" w:hAnsi="仿宋"/>
                <w:color w:val="000000"/>
                <w:szCs w:val="24"/>
              </w:rPr>
              <w:t>科室查看住院患者不同等级或类型警示信息的发生次数及占比；</w:t>
            </w:r>
          </w:p>
          <w:p w14:paraId="7CF45540">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支持按医院</w:t>
            </w:r>
            <w:r>
              <w:rPr>
                <w:rFonts w:ascii="仿宋" w:hAnsi="仿宋"/>
                <w:color w:val="000000"/>
                <w:szCs w:val="24"/>
              </w:rPr>
              <w:t>/</w:t>
            </w:r>
            <w:r>
              <w:rPr>
                <w:rFonts w:hint="eastAsia" w:ascii="仿宋" w:hAnsi="仿宋"/>
                <w:color w:val="000000"/>
                <w:szCs w:val="24"/>
              </w:rPr>
              <w:t>科室</w:t>
            </w:r>
            <w:r>
              <w:rPr>
                <w:rFonts w:ascii="仿宋" w:hAnsi="仿宋"/>
                <w:color w:val="000000"/>
                <w:szCs w:val="24"/>
              </w:rPr>
              <w:t>/</w:t>
            </w:r>
            <w:r>
              <w:rPr>
                <w:rFonts w:hint="eastAsia" w:ascii="仿宋" w:hAnsi="仿宋"/>
                <w:color w:val="000000"/>
                <w:szCs w:val="24"/>
              </w:rPr>
              <w:t>医生查看不同等级或类型警示信息的发生次及占比；支持按药品展示不同类型或等级警示信息的发生次数、发生处方数及占比；</w:t>
            </w:r>
          </w:p>
        </w:tc>
        <w:tc>
          <w:tcPr>
            <w:tcW w:w="455" w:type="pct"/>
            <w:tcBorders>
              <w:top w:val="nil"/>
              <w:left w:val="nil"/>
              <w:bottom w:val="single" w:color="auto" w:sz="4" w:space="0"/>
              <w:right w:val="single" w:color="auto" w:sz="4" w:space="0"/>
            </w:tcBorders>
            <w:vAlign w:val="center"/>
          </w:tcPr>
          <w:p w14:paraId="447775FB">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9EFB2F5">
        <w:tblPrEx>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370DDD4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1.1.4区域合理用药点评功能</w:t>
            </w:r>
          </w:p>
        </w:tc>
      </w:tr>
      <w:tr w14:paraId="4A79C594">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6BB12EA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1.1.4.1</w:t>
            </w:r>
          </w:p>
        </w:tc>
        <w:tc>
          <w:tcPr>
            <w:tcW w:w="994" w:type="pct"/>
            <w:tcBorders>
              <w:top w:val="nil"/>
              <w:left w:val="nil"/>
              <w:bottom w:val="single" w:color="auto" w:sz="4" w:space="0"/>
              <w:right w:val="single" w:color="auto" w:sz="4" w:space="0"/>
            </w:tcBorders>
            <w:vAlign w:val="center"/>
          </w:tcPr>
          <w:p w14:paraId="0756B739">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点评范围与类型</w:t>
            </w:r>
          </w:p>
        </w:tc>
        <w:tc>
          <w:tcPr>
            <w:tcW w:w="2506" w:type="pct"/>
            <w:tcBorders>
              <w:top w:val="nil"/>
              <w:left w:val="nil"/>
              <w:bottom w:val="single" w:color="auto" w:sz="4" w:space="0"/>
              <w:right w:val="single" w:color="auto" w:sz="4" w:space="0"/>
            </w:tcBorders>
            <w:vAlign w:val="center"/>
          </w:tcPr>
          <w:p w14:paraId="24BFCC5E">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支持全处方点评和全医嘱点评；</w:t>
            </w:r>
          </w:p>
          <w:p w14:paraId="6D0FF0A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支持特定条件下处方/医嘱的抽样点评；</w:t>
            </w:r>
          </w:p>
          <w:p w14:paraId="178F89CA">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支持项目化管理模式的全处方/医嘱点评，通过自定义模板的方式保留抽取条件和分配方案，对处方/医嘱进行抽样点评；</w:t>
            </w:r>
          </w:p>
          <w:p w14:paraId="78A5C580">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支持对特定药品进行专项点评，如抗菌药物专项、基药专项等；</w:t>
            </w:r>
          </w:p>
          <w:p w14:paraId="0A96A568">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支持提供住院病人特殊级抗菌药物(万古霉素等)专项点评模板及导出模板。</w:t>
            </w:r>
          </w:p>
        </w:tc>
        <w:tc>
          <w:tcPr>
            <w:tcW w:w="455" w:type="pct"/>
            <w:tcBorders>
              <w:top w:val="nil"/>
              <w:left w:val="nil"/>
              <w:bottom w:val="single" w:color="auto" w:sz="4" w:space="0"/>
              <w:right w:val="single" w:color="auto" w:sz="4" w:space="0"/>
            </w:tcBorders>
            <w:vAlign w:val="center"/>
          </w:tcPr>
          <w:p w14:paraId="50543B7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FE5826B">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C9DA2F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1.1.4.2</w:t>
            </w:r>
          </w:p>
        </w:tc>
        <w:tc>
          <w:tcPr>
            <w:tcW w:w="994" w:type="pct"/>
            <w:tcBorders>
              <w:top w:val="nil"/>
              <w:left w:val="nil"/>
              <w:bottom w:val="single" w:color="auto" w:sz="4" w:space="0"/>
              <w:right w:val="single" w:color="auto" w:sz="4" w:space="0"/>
            </w:tcBorders>
            <w:vAlign w:val="center"/>
          </w:tcPr>
          <w:p w14:paraId="0680F223">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点评样本抽取条件</w:t>
            </w:r>
          </w:p>
        </w:tc>
        <w:tc>
          <w:tcPr>
            <w:tcW w:w="2506" w:type="pct"/>
            <w:tcBorders>
              <w:top w:val="nil"/>
              <w:left w:val="nil"/>
              <w:bottom w:val="single" w:color="auto" w:sz="4" w:space="0"/>
              <w:right w:val="single" w:color="auto" w:sz="4" w:space="0"/>
            </w:tcBorders>
            <w:vAlign w:val="center"/>
          </w:tcPr>
          <w:p w14:paraId="1BD5E27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支持多维度的抽样筛选条件组合抽取，满足用户不同的抽样要求：</w:t>
            </w:r>
          </w:p>
          <w:p w14:paraId="775E8A9B">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门急诊处方：提供年龄、患者号、处方号、处方来源（门急诊、门诊、急诊）、药品名称、药品品种数、药品属性、是否包含退药处方、是否注射给药、诊断、医生职称、处方类型（西药方、草药方、中成药方）、处方金额、抗菌药物类型、机评合理情况（全部、合理、不合理）、警示信息（按警示信息类型、状态、等级）、点评方式（按科室、按医生）、样本来源（全部、已抽取、未抽取）筛选条件；</w:t>
            </w:r>
            <w:r>
              <w:rPr>
                <w:rFonts w:hint="eastAsia" w:ascii="仿宋" w:hAnsi="仿宋"/>
                <w:color w:val="000000"/>
                <w:szCs w:val="24"/>
              </w:rPr>
              <w:br w:type="textWrapping"/>
            </w:r>
            <w:r>
              <w:rPr>
                <w:rFonts w:hint="eastAsia" w:ascii="仿宋" w:hAnsi="仿宋"/>
                <w:color w:val="000000"/>
                <w:szCs w:val="24"/>
              </w:rPr>
              <w:t>住院医嘱：提供年龄、住院号、患者号、病案号、药品名称、药品属性、是否包含无用药患者、是否是出院带药患者、住院天数、诊断、医生职称、是否有手术信息患者、手术名称、手术等级、切口类型、用药金额、抗菌药物类型、机评合理情况、警示信息（按警示信息类型、状态、等级）、点评方式（按科室、按医生、按病区、按医疗组）、样本来源（全部、已抽取、未抽取）筛选条件；</w:t>
            </w:r>
          </w:p>
          <w:p w14:paraId="00F85B2B">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针对药品名称，支持处方/医嘱中多个药品同时存在时才抽取的抽取方式（支持3个及以下药品的同时抽取）；</w:t>
            </w:r>
          </w:p>
          <w:p w14:paraId="52CE21AA">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住院医嘱抽取时若存在药品名称筛选且按医生进行抽样时，支持将药品与开嘱医生关联；</w:t>
            </w:r>
          </w:p>
          <w:p w14:paraId="48EE5492">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支持在抽样时设置点评样本中需要显示的警示信息类型、状态和等级。支持只显示抽取药品名称、药品属性的警示信息;支持通过自定义规则对应警示进行样本抽取（处方、医嘱），满足用户个性化的抽样要求；</w:t>
            </w:r>
          </w:p>
        </w:tc>
        <w:tc>
          <w:tcPr>
            <w:tcW w:w="455" w:type="pct"/>
            <w:tcBorders>
              <w:top w:val="nil"/>
              <w:left w:val="nil"/>
              <w:bottom w:val="single" w:color="auto" w:sz="4" w:space="0"/>
              <w:right w:val="single" w:color="auto" w:sz="4" w:space="0"/>
            </w:tcBorders>
            <w:vAlign w:val="center"/>
          </w:tcPr>
          <w:p w14:paraId="7A2F33DC">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03C1EF0">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22C93AA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1.1.4.3</w:t>
            </w:r>
          </w:p>
        </w:tc>
        <w:tc>
          <w:tcPr>
            <w:tcW w:w="994" w:type="pct"/>
            <w:tcBorders>
              <w:top w:val="nil"/>
              <w:left w:val="nil"/>
              <w:bottom w:val="single" w:color="auto" w:sz="4" w:space="0"/>
              <w:right w:val="single" w:color="auto" w:sz="4" w:space="0"/>
            </w:tcBorders>
            <w:vAlign w:val="center"/>
          </w:tcPr>
          <w:p w14:paraId="1CDD102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点评样本抽样方式</w:t>
            </w:r>
          </w:p>
        </w:tc>
        <w:tc>
          <w:tcPr>
            <w:tcW w:w="2506" w:type="pct"/>
            <w:tcBorders>
              <w:top w:val="nil"/>
              <w:left w:val="nil"/>
              <w:bottom w:val="single" w:color="auto" w:sz="4" w:space="0"/>
              <w:right w:val="single" w:color="auto" w:sz="4" w:space="0"/>
            </w:tcBorders>
            <w:vAlign w:val="center"/>
          </w:tcPr>
          <w:p w14:paraId="67C0C9E8">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支持多种样本抽取方式：</w:t>
            </w:r>
          </w:p>
          <w:p w14:paraId="6A0EB62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门诊：</w:t>
            </w:r>
          </w:p>
          <w:p w14:paraId="516ECD1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提供全部抽、随机按指定数量或百分比抽取、等间隔按指定数量抽取、每个机构</w:t>
            </w:r>
            <w:r>
              <w:rPr>
                <w:rFonts w:ascii="仿宋" w:hAnsi="仿宋"/>
                <w:color w:val="000000"/>
                <w:szCs w:val="24"/>
              </w:rPr>
              <w:t>/</w:t>
            </w:r>
            <w:r>
              <w:rPr>
                <w:rFonts w:hint="eastAsia" w:ascii="仿宋" w:hAnsi="仿宋"/>
                <w:color w:val="000000"/>
                <w:szCs w:val="24"/>
              </w:rPr>
              <w:t>科室指定数量或百分比抽取、按药品抽取（即当存在药品名称筛选条件时，支持按筛选药品指定数量抽取）、按医生抽取（即当存在医生筛选条件时，支持设定满足筛选条件的医生指定人数或百分比人数，并支持设置单个医生指定数量或百分比进行组合抽取）；</w:t>
            </w:r>
          </w:p>
          <w:p w14:paraId="22BE9372">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住院：</w:t>
            </w:r>
          </w:p>
          <w:p w14:paraId="042B36B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提供全部抽取、随机按指定数量或百分比抽取、等间隔按指定数量抽取、每个机构</w:t>
            </w:r>
            <w:r>
              <w:rPr>
                <w:rFonts w:ascii="仿宋" w:hAnsi="仿宋"/>
                <w:color w:val="000000"/>
                <w:szCs w:val="24"/>
              </w:rPr>
              <w:t>/</w:t>
            </w:r>
            <w:r>
              <w:rPr>
                <w:rFonts w:hint="eastAsia" w:ascii="仿宋" w:hAnsi="仿宋"/>
                <w:color w:val="000000"/>
                <w:szCs w:val="24"/>
              </w:rPr>
              <w:t>科室</w:t>
            </w:r>
            <w:r>
              <w:rPr>
                <w:rFonts w:ascii="仿宋" w:hAnsi="仿宋"/>
                <w:color w:val="000000"/>
                <w:szCs w:val="24"/>
              </w:rPr>
              <w:t>/</w:t>
            </w:r>
            <w:r>
              <w:rPr>
                <w:rFonts w:hint="eastAsia" w:ascii="仿宋" w:hAnsi="仿宋"/>
                <w:color w:val="000000"/>
                <w:szCs w:val="24"/>
              </w:rPr>
              <w:t>病区</w:t>
            </w:r>
            <w:r>
              <w:rPr>
                <w:rFonts w:ascii="仿宋" w:hAnsi="仿宋"/>
                <w:color w:val="000000"/>
                <w:szCs w:val="24"/>
              </w:rPr>
              <w:t>/</w:t>
            </w:r>
            <w:r>
              <w:rPr>
                <w:rFonts w:hint="eastAsia" w:ascii="仿宋" w:hAnsi="仿宋"/>
                <w:color w:val="000000"/>
                <w:szCs w:val="24"/>
              </w:rPr>
              <w:t>医疗组指定数量或百分比抽取、按药品抽取（即当存在药品名称筛选条件时，支持按筛选药品指定数量抽取）、按医生抽取（即当存在医生筛选条件时，支持按筛选医生指定数量或百分比抽取样本）、按病区/医疗组/主管医生抽取（即当存在主管医生筛选条件时，支持按指定数量或百分比抽取病区、医疗组、主管医生，每个病区、医疗组、主管医生指定数量或百分比的样本）；</w:t>
            </w:r>
          </w:p>
        </w:tc>
        <w:tc>
          <w:tcPr>
            <w:tcW w:w="455" w:type="pct"/>
            <w:tcBorders>
              <w:top w:val="nil"/>
              <w:left w:val="nil"/>
              <w:bottom w:val="single" w:color="auto" w:sz="4" w:space="0"/>
              <w:right w:val="single" w:color="auto" w:sz="4" w:space="0"/>
            </w:tcBorders>
            <w:vAlign w:val="center"/>
          </w:tcPr>
          <w:p w14:paraId="08DEA3BC">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B6FB7AB">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D7BCD8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1.1.4.4</w:t>
            </w:r>
          </w:p>
        </w:tc>
        <w:tc>
          <w:tcPr>
            <w:tcW w:w="994" w:type="pct"/>
            <w:tcBorders>
              <w:top w:val="nil"/>
              <w:left w:val="single" w:color="auto" w:sz="4" w:space="0"/>
              <w:bottom w:val="single" w:color="auto" w:sz="4" w:space="0"/>
              <w:right w:val="single" w:color="auto" w:sz="4" w:space="0"/>
            </w:tcBorders>
            <w:vAlign w:val="center"/>
          </w:tcPr>
          <w:p w14:paraId="1187B26C">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处方/医嘱人工点评</w:t>
            </w:r>
          </w:p>
        </w:tc>
        <w:tc>
          <w:tcPr>
            <w:tcW w:w="2506" w:type="pct"/>
            <w:tcBorders>
              <w:top w:val="nil"/>
              <w:left w:val="nil"/>
              <w:bottom w:val="single" w:color="auto" w:sz="4" w:space="0"/>
              <w:right w:val="single" w:color="auto" w:sz="4" w:space="0"/>
            </w:tcBorders>
            <w:vAlign w:val="center"/>
          </w:tcPr>
          <w:p w14:paraId="1DD483B9">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支持处方/医嘱点评项目的任务进行分配，将抽取的处方/医嘱分配给多个药师进行人工点评；</w:t>
            </w:r>
          </w:p>
          <w:p w14:paraId="7CCE034E">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支持点评药师查看并点评被分配的点评项目及具体点评任务，点评任务列表页面提供时间、患者姓名、是否合理、机评结果、警示类型、警示等级、点评状态、审阅状态、科室、选择药品筛选条件；</w:t>
            </w:r>
          </w:p>
          <w:p w14:paraId="0661C2E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对处方/医嘱自动点评，支持点评药师在点评处方/医嘱时，对系统点评产生的警示信息内容进行忽略或恢复，并支持人工添加点评意见，填写人工点评意见时支持选择问题代码及药品名称，同时点评任务列表页支持处方/医嘱的批量点评，包括批量确认机评结果和批量忽略机评结果；</w:t>
            </w:r>
          </w:p>
          <w:p w14:paraId="6F7E92E5">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支持查看样本的历史点评记录，并</w:t>
            </w:r>
          </w:p>
          <w:p w14:paraId="65D654DF">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支持按警示类型自动配置问题代码，同时支持药师点评时选择问题代码、药品名称或直接填写人工点评内容；</w:t>
            </w:r>
          </w:p>
          <w:p w14:paraId="6A82EE9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支持人工点评意见标记展示，点评药师人工添加的人评意见展示“人评”标记；</w:t>
            </w:r>
          </w:p>
          <w:p w14:paraId="3C08E3B0">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支持机评警示信息、点评意见、复核意见和最终点评意见单独存储；</w:t>
            </w:r>
          </w:p>
          <w:p w14:paraId="3C13AAEF">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点评任务列表页支持处方/医嘱的批量点评，包括批量确认机评结果和批量忽略机评结果；</w:t>
            </w:r>
          </w:p>
          <w:p w14:paraId="59915E0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点评项目列表页面支持配置显示样本开始时间、样本结束时间、项目创建时间、项目结束时间、项目入库时间、项目推送时间；</w:t>
            </w:r>
          </w:p>
        </w:tc>
        <w:tc>
          <w:tcPr>
            <w:tcW w:w="455" w:type="pct"/>
            <w:tcBorders>
              <w:top w:val="nil"/>
              <w:left w:val="nil"/>
              <w:bottom w:val="single" w:color="auto" w:sz="4" w:space="0"/>
              <w:right w:val="single" w:color="auto" w:sz="4" w:space="0"/>
            </w:tcBorders>
            <w:vAlign w:val="center"/>
          </w:tcPr>
          <w:p w14:paraId="38D200A6">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8C2259F">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7E6136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1.1.4.5</w:t>
            </w:r>
          </w:p>
        </w:tc>
        <w:tc>
          <w:tcPr>
            <w:tcW w:w="994" w:type="pct"/>
            <w:tcBorders>
              <w:top w:val="nil"/>
              <w:left w:val="single" w:color="auto" w:sz="4" w:space="0"/>
              <w:bottom w:val="single" w:color="auto" w:sz="4" w:space="0"/>
              <w:right w:val="single" w:color="auto" w:sz="4" w:space="0"/>
            </w:tcBorders>
            <w:vAlign w:val="center"/>
          </w:tcPr>
          <w:p w14:paraId="10825E9C">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问题代码设置功能</w:t>
            </w:r>
          </w:p>
        </w:tc>
        <w:tc>
          <w:tcPr>
            <w:tcW w:w="2506" w:type="pct"/>
            <w:tcBorders>
              <w:top w:val="nil"/>
              <w:left w:val="nil"/>
              <w:bottom w:val="single" w:color="auto" w:sz="4" w:space="0"/>
              <w:right w:val="single" w:color="auto" w:sz="4" w:space="0"/>
            </w:tcBorders>
            <w:vAlign w:val="center"/>
          </w:tcPr>
          <w:p w14:paraId="74744F80">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系统支持用户自定义问题代码与警示类型的对应关系，同时支持按对应关系自动生成问题代码；</w:t>
            </w:r>
            <w:r>
              <w:rPr>
                <w:rFonts w:hint="eastAsia" w:ascii="仿宋" w:hAnsi="仿宋" w:cs="宋体"/>
                <w:color w:val="000000"/>
                <w:szCs w:val="24"/>
                <w:lang w:eastAsia="zh-CN"/>
              </w:rPr>
              <w:t xml:space="preserve"> </w:t>
            </w:r>
            <w:r>
              <w:rPr>
                <w:rFonts w:hint="eastAsia" w:ascii="仿宋" w:hAnsi="仿宋"/>
                <w:color w:val="000000"/>
                <w:szCs w:val="24"/>
              </w:rPr>
              <w:t>支持问题代码在的点评界面展示和项目报表中导出。</w:t>
            </w:r>
          </w:p>
        </w:tc>
        <w:tc>
          <w:tcPr>
            <w:tcW w:w="455" w:type="pct"/>
            <w:tcBorders>
              <w:top w:val="nil"/>
              <w:left w:val="nil"/>
              <w:bottom w:val="single" w:color="auto" w:sz="4" w:space="0"/>
              <w:right w:val="single" w:color="auto" w:sz="4" w:space="0"/>
            </w:tcBorders>
            <w:vAlign w:val="center"/>
          </w:tcPr>
          <w:p w14:paraId="2D1AD09F">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82B4412">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60079A96">
            <w:pPr>
              <w:widowControl/>
              <w:spacing w:line="240" w:lineRule="auto"/>
              <w:ind w:firstLine="0" w:firstLineChars="0"/>
              <w:jc w:val="left"/>
              <w:rPr>
                <w:rFonts w:hint="eastAsia" w:ascii="仿宋" w:hAnsi="仿宋" w:eastAsia="仿宋" w:cs="宋体"/>
                <w:color w:val="000000"/>
                <w:szCs w:val="24"/>
                <w:lang w:eastAsia="zh-CN"/>
              </w:rPr>
            </w:pPr>
            <w:r>
              <w:rPr>
                <w:rFonts w:hint="eastAsia" w:ascii="仿宋" w:hAnsi="仿宋" w:cs="宋体"/>
                <w:color w:val="000000"/>
                <w:szCs w:val="24"/>
              </w:rPr>
              <w:t>1.1.4.</w:t>
            </w:r>
            <w:r>
              <w:rPr>
                <w:rFonts w:hint="eastAsia" w:ascii="仿宋" w:hAnsi="仿宋" w:cs="宋体"/>
                <w:color w:val="000000"/>
                <w:szCs w:val="24"/>
                <w:lang w:val="en-US" w:eastAsia="zh-CN"/>
              </w:rPr>
              <w:t>6</w:t>
            </w:r>
          </w:p>
        </w:tc>
        <w:tc>
          <w:tcPr>
            <w:tcW w:w="994" w:type="pct"/>
            <w:tcBorders>
              <w:top w:val="nil"/>
              <w:left w:val="single" w:color="auto" w:sz="4" w:space="0"/>
              <w:bottom w:val="single" w:color="auto" w:sz="4" w:space="0"/>
              <w:right w:val="single" w:color="auto" w:sz="4" w:space="0"/>
            </w:tcBorders>
            <w:vAlign w:val="center"/>
          </w:tcPr>
          <w:p w14:paraId="1EC246A2">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多方案抽取</w:t>
            </w:r>
          </w:p>
        </w:tc>
        <w:tc>
          <w:tcPr>
            <w:tcW w:w="2506" w:type="pct"/>
            <w:tcBorders>
              <w:top w:val="nil"/>
              <w:left w:val="nil"/>
              <w:bottom w:val="single" w:color="auto" w:sz="4" w:space="0"/>
              <w:right w:val="single" w:color="auto" w:sz="4" w:space="0"/>
            </w:tcBorders>
            <w:vAlign w:val="center"/>
          </w:tcPr>
          <w:p w14:paraId="1E1C7C09">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支持多方案抽取，在单项目中新增多个抽取方案，每个方案对应一份抽取条件，多份条件逐一抽取；</w:t>
            </w:r>
          </w:p>
        </w:tc>
        <w:tc>
          <w:tcPr>
            <w:tcW w:w="455" w:type="pct"/>
            <w:tcBorders>
              <w:top w:val="nil"/>
              <w:left w:val="nil"/>
              <w:bottom w:val="single" w:color="auto" w:sz="4" w:space="0"/>
              <w:right w:val="single" w:color="auto" w:sz="4" w:space="0"/>
            </w:tcBorders>
            <w:vAlign w:val="center"/>
          </w:tcPr>
          <w:p w14:paraId="45CF2E2D">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20BC60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6EDF4A91">
            <w:pPr>
              <w:widowControl/>
              <w:spacing w:line="240" w:lineRule="auto"/>
              <w:ind w:firstLine="0" w:firstLineChars="0"/>
              <w:jc w:val="left"/>
              <w:rPr>
                <w:rFonts w:hint="eastAsia" w:ascii="仿宋" w:hAnsi="仿宋" w:eastAsia="仿宋" w:cs="宋体"/>
                <w:color w:val="000000"/>
                <w:szCs w:val="24"/>
                <w:lang w:eastAsia="zh-CN"/>
              </w:rPr>
            </w:pPr>
            <w:r>
              <w:rPr>
                <w:rFonts w:hint="eastAsia" w:ascii="仿宋" w:hAnsi="仿宋" w:cs="宋体"/>
                <w:color w:val="000000"/>
                <w:szCs w:val="24"/>
              </w:rPr>
              <w:t>1.1.4.</w:t>
            </w:r>
            <w:r>
              <w:rPr>
                <w:rFonts w:hint="eastAsia" w:ascii="仿宋" w:hAnsi="仿宋" w:cs="宋体"/>
                <w:color w:val="000000"/>
                <w:szCs w:val="24"/>
                <w:lang w:val="en-US" w:eastAsia="zh-CN"/>
              </w:rPr>
              <w:t>7</w:t>
            </w:r>
          </w:p>
        </w:tc>
        <w:tc>
          <w:tcPr>
            <w:tcW w:w="994" w:type="pct"/>
            <w:tcBorders>
              <w:top w:val="nil"/>
              <w:left w:val="single" w:color="auto" w:sz="4" w:space="0"/>
              <w:bottom w:val="single" w:color="auto" w:sz="4" w:space="0"/>
              <w:right w:val="single" w:color="auto" w:sz="4" w:space="0"/>
            </w:tcBorders>
            <w:vAlign w:val="center"/>
          </w:tcPr>
          <w:p w14:paraId="073C8953">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处方/医嘱界面展示</w:t>
            </w:r>
          </w:p>
        </w:tc>
        <w:tc>
          <w:tcPr>
            <w:tcW w:w="2506" w:type="pct"/>
            <w:tcBorders>
              <w:top w:val="nil"/>
              <w:left w:val="nil"/>
              <w:bottom w:val="single" w:color="auto" w:sz="4" w:space="0"/>
              <w:right w:val="single" w:color="auto" w:sz="4" w:space="0"/>
            </w:tcBorders>
            <w:vAlign w:val="center"/>
          </w:tcPr>
          <w:p w14:paraId="386CF751">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支持处方/医嘱明细页面一体化展示患者信息、处方/医嘱信息、检查检验信息、手术信息、电子病历信息及系统自动分析结果；</w:t>
            </w:r>
          </w:p>
          <w:p w14:paraId="4758A0D0">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对于门诊处方，支持查看患者当日所有处方；对于住院医嘱，支持按医嘱类型、药品属性、药品名称、科室、医生进行医嘱明细信息筛选；</w:t>
            </w:r>
          </w:p>
          <w:p w14:paraId="2E1E22DB">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支持点击警示信息后，左侧药品区域只展示存在该警示信息的问题药品；</w:t>
            </w:r>
          </w:p>
          <w:p w14:paraId="552BF67C">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支持点击药品后，右侧警示信息栏只显示该药品相关的警示信息；</w:t>
            </w:r>
          </w:p>
          <w:p w14:paraId="129BE577">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支持在药师点评详情页面，展示干预阶段或审方阶段医生双签名确认时填写的理由；</w:t>
            </w:r>
          </w:p>
          <w:p w14:paraId="01BEC7B9">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支持用户自定义设置患者信息显示的字段；</w:t>
            </w:r>
          </w:p>
          <w:p w14:paraId="0F00AE3F">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支持用户自定义设置药品明细页面展示的字段，并可设置字段排序，方便药师关注信息的优先展示；</w:t>
            </w:r>
          </w:p>
          <w:p w14:paraId="2829568C">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提供处方/医嘱明细页警示等级按钮，点击对应等级即可显示或隐藏对应等级的警示信息；</w:t>
            </w:r>
          </w:p>
          <w:p w14:paraId="54E9F10E">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支持处方/医嘱点评详情页面外链跳转功能；</w:t>
            </w:r>
          </w:p>
          <w:p w14:paraId="2DD188C5">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支持住院点评详情页展示时序图功能；</w:t>
            </w:r>
          </w:p>
        </w:tc>
        <w:tc>
          <w:tcPr>
            <w:tcW w:w="455" w:type="pct"/>
            <w:tcBorders>
              <w:top w:val="nil"/>
              <w:left w:val="nil"/>
              <w:bottom w:val="single" w:color="auto" w:sz="4" w:space="0"/>
              <w:right w:val="single" w:color="auto" w:sz="4" w:space="0"/>
            </w:tcBorders>
            <w:vAlign w:val="center"/>
          </w:tcPr>
          <w:p w14:paraId="5A78A982">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4093E324">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8B9DB27">
            <w:pPr>
              <w:widowControl/>
              <w:spacing w:line="240" w:lineRule="auto"/>
              <w:ind w:firstLine="0" w:firstLineChars="0"/>
              <w:jc w:val="left"/>
              <w:rPr>
                <w:rFonts w:hint="eastAsia" w:ascii="仿宋" w:hAnsi="仿宋" w:eastAsia="仿宋" w:cs="宋体"/>
                <w:color w:val="000000"/>
                <w:szCs w:val="24"/>
                <w:lang w:eastAsia="zh-CN"/>
              </w:rPr>
            </w:pPr>
            <w:r>
              <w:rPr>
                <w:rFonts w:hint="eastAsia" w:ascii="仿宋" w:hAnsi="仿宋" w:cs="宋体"/>
                <w:color w:val="000000"/>
                <w:szCs w:val="24"/>
              </w:rPr>
              <w:t>1.1.4.</w:t>
            </w:r>
            <w:r>
              <w:rPr>
                <w:rFonts w:hint="eastAsia" w:ascii="仿宋" w:hAnsi="仿宋" w:cs="宋体"/>
                <w:color w:val="000000"/>
                <w:szCs w:val="24"/>
                <w:lang w:val="en-US" w:eastAsia="zh-CN"/>
              </w:rPr>
              <w:t>8</w:t>
            </w:r>
          </w:p>
        </w:tc>
        <w:tc>
          <w:tcPr>
            <w:tcW w:w="994" w:type="pct"/>
            <w:tcBorders>
              <w:top w:val="nil"/>
              <w:left w:val="single" w:color="auto" w:sz="4" w:space="0"/>
              <w:bottom w:val="single" w:color="auto" w:sz="4" w:space="0"/>
              <w:right w:val="single" w:color="auto" w:sz="4" w:space="0"/>
            </w:tcBorders>
            <w:vAlign w:val="center"/>
          </w:tcPr>
          <w:p w14:paraId="0D195FBB">
            <w:pPr>
              <w:widowControl/>
              <w:spacing w:line="240" w:lineRule="auto"/>
              <w:ind w:firstLine="0" w:firstLineChars="0"/>
              <w:jc w:val="left"/>
              <w:rPr>
                <w:rFonts w:hint="eastAsia" w:ascii="仿宋" w:hAnsi="仿宋" w:cs="宋体"/>
                <w:color w:val="000000"/>
                <w:szCs w:val="24"/>
              </w:rPr>
            </w:pPr>
            <w:r>
              <w:rPr>
                <w:rFonts w:hint="eastAsia" w:ascii="仿宋" w:hAnsi="仿宋"/>
                <w:color w:val="000000"/>
                <w:szCs w:val="24"/>
              </w:rPr>
              <w:t>点评报表生成与导出</w:t>
            </w:r>
          </w:p>
        </w:tc>
        <w:tc>
          <w:tcPr>
            <w:tcW w:w="2506" w:type="pct"/>
            <w:tcBorders>
              <w:top w:val="nil"/>
              <w:left w:val="nil"/>
              <w:bottom w:val="single" w:color="auto" w:sz="4" w:space="0"/>
              <w:right w:val="single" w:color="auto" w:sz="4" w:space="0"/>
            </w:tcBorders>
            <w:vAlign w:val="center"/>
          </w:tcPr>
          <w:p w14:paraId="217A4674">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门诊处方点评项目结束后，支持按机构、按科室、按医生、按科室-医生生成项目报表，包括点评处方数、处方人次数、用药品种数、抗菌药物品种数、基药品种数、抗菌药物总金额、基药使用人次数、基药使用人次百分率、抗菌药物金额百分率、抗菌药物品种数百分率、不合理处方数等指标等统计指标，满足处方点评的要求；</w:t>
            </w:r>
          </w:p>
          <w:p w14:paraId="6AED887C">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住院医嘱项目结束后，支持按机构、按科室、按医疗组、按科室-主管医生生成项目报表，包括出院患者人次数、用药品种数、抗菌药物品种数、基药品种数、抗菌药物使用百分率(%)、合理医嘱百分率(%)、抗菌药物总金额、抗菌药物金额百分率、抗菌药物品种数百分率、不合理医嘱数等统计指标；满足医院医嘱点评的要求；</w:t>
            </w:r>
          </w:p>
          <w:p w14:paraId="3599EDAA">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满足《医院处方点评管理规范》对处方点评工作表的要求。支持项目报表、处方/医嘱样本数据导出成excel文件；</w:t>
            </w:r>
            <w:r>
              <w:rPr>
                <w:rFonts w:hint="eastAsia" w:ascii="仿宋" w:hAnsi="仿宋"/>
                <w:color w:val="EE0000"/>
                <w:szCs w:val="24"/>
                <w:lang w:eastAsia="zh-CN"/>
              </w:rPr>
              <w:t xml:space="preserve">  </w:t>
            </w:r>
            <w:r>
              <w:rPr>
                <w:rFonts w:hint="eastAsia" w:ascii="仿宋" w:hAnsi="仿宋"/>
                <w:color w:val="000000"/>
                <w:szCs w:val="24"/>
              </w:rPr>
              <w:t>支持用户自定义设置样本导出方案，提供可选择的处方或医嘱点评样本导出字段（系统提供80+待选字段），并在点评报表导出时进行选用，满足用户的个性化导出要求；</w:t>
            </w:r>
          </w:p>
          <w:p w14:paraId="6D3F6CE5">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门诊处方项目导出时支持导出全部药品、抽取药品、抗菌药物、问题药品的数据；住院医嘱项目导出时支持导出全部药品、抽取药品、抗菌药物、问题药品、出院带药、抽取医生的数据；</w:t>
            </w:r>
          </w:p>
          <w:p w14:paraId="35417AB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支持将结束后项目中的数据进行汇总统计，支持按日期、机构、样本类型、处方来源、科室范围进行样本统计；支持自定义配置用户项目报表查看和导出的权限；</w:t>
            </w:r>
            <w:r>
              <w:rPr>
                <w:rFonts w:ascii="仿宋" w:hAnsi="仿宋"/>
                <w:color w:val="000000"/>
                <w:szCs w:val="24"/>
              </w:rPr>
              <w:t xml:space="preserve"> </w:t>
            </w:r>
          </w:p>
        </w:tc>
        <w:tc>
          <w:tcPr>
            <w:tcW w:w="455" w:type="pct"/>
            <w:tcBorders>
              <w:top w:val="nil"/>
              <w:left w:val="nil"/>
              <w:bottom w:val="single" w:color="auto" w:sz="4" w:space="0"/>
              <w:right w:val="single" w:color="auto" w:sz="4" w:space="0"/>
            </w:tcBorders>
            <w:vAlign w:val="center"/>
          </w:tcPr>
          <w:p w14:paraId="2C0E6DB7">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272BF36">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47DB7DF">
            <w:pPr>
              <w:widowControl/>
              <w:spacing w:line="240" w:lineRule="auto"/>
              <w:ind w:firstLine="0" w:firstLineChars="0"/>
              <w:jc w:val="left"/>
              <w:rPr>
                <w:rFonts w:hint="eastAsia" w:ascii="仿宋" w:hAnsi="仿宋" w:eastAsia="仿宋" w:cs="宋体"/>
                <w:color w:val="000000"/>
                <w:szCs w:val="24"/>
                <w:lang w:eastAsia="zh-CN"/>
              </w:rPr>
            </w:pPr>
            <w:r>
              <w:rPr>
                <w:rFonts w:hint="eastAsia" w:ascii="仿宋" w:hAnsi="仿宋" w:cs="宋体"/>
                <w:color w:val="000000"/>
                <w:szCs w:val="24"/>
              </w:rPr>
              <w:t>1.1.4.</w:t>
            </w:r>
            <w:r>
              <w:rPr>
                <w:rFonts w:hint="eastAsia" w:ascii="仿宋" w:hAnsi="仿宋" w:cs="宋体"/>
                <w:color w:val="000000"/>
                <w:szCs w:val="24"/>
                <w:lang w:val="en-US" w:eastAsia="zh-CN"/>
              </w:rPr>
              <w:t>9</w:t>
            </w:r>
          </w:p>
        </w:tc>
        <w:tc>
          <w:tcPr>
            <w:tcW w:w="994" w:type="pct"/>
            <w:tcBorders>
              <w:top w:val="nil"/>
              <w:left w:val="single" w:color="auto" w:sz="4" w:space="0"/>
              <w:bottom w:val="single" w:color="auto" w:sz="4" w:space="0"/>
              <w:right w:val="single" w:color="auto" w:sz="4" w:space="0"/>
            </w:tcBorders>
            <w:vAlign w:val="center"/>
          </w:tcPr>
          <w:p w14:paraId="660386AE">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点评结果推送</w:t>
            </w:r>
          </w:p>
        </w:tc>
        <w:tc>
          <w:tcPr>
            <w:tcW w:w="2506" w:type="pct"/>
            <w:tcBorders>
              <w:top w:val="nil"/>
              <w:left w:val="nil"/>
              <w:bottom w:val="single" w:color="auto" w:sz="4" w:space="0"/>
              <w:right w:val="single" w:color="auto" w:sz="4" w:space="0"/>
            </w:tcBorders>
            <w:vAlign w:val="center"/>
          </w:tcPr>
          <w:p w14:paraId="3052A28B">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支持将药师点评为不合理的处方推送至相应的开方医生，支持医生在收到点评结果提醒后，免密登录合理用药系统查看具体不合理处方并进行申述；</w:t>
            </w:r>
          </w:p>
          <w:p w14:paraId="6D32867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将药师点评为不合理的医嘱推送至患者相关医生，或仅推给有问题药品的开嘱医生（非药品问题的医嘱会推送给主管医生），支持医生收到点评结果提醒后，免密登录合理用药系统查看具体不合理医嘱并进行申述；</w:t>
            </w:r>
          </w:p>
        </w:tc>
        <w:tc>
          <w:tcPr>
            <w:tcW w:w="455" w:type="pct"/>
            <w:tcBorders>
              <w:top w:val="nil"/>
              <w:left w:val="nil"/>
              <w:bottom w:val="single" w:color="auto" w:sz="4" w:space="0"/>
              <w:right w:val="single" w:color="auto" w:sz="4" w:space="0"/>
            </w:tcBorders>
            <w:vAlign w:val="center"/>
          </w:tcPr>
          <w:p w14:paraId="465D4026">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EA5C9EC">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8F32214">
            <w:pPr>
              <w:widowControl/>
              <w:spacing w:line="240" w:lineRule="auto"/>
              <w:ind w:firstLine="0" w:firstLineChars="0"/>
              <w:jc w:val="left"/>
              <w:rPr>
                <w:rFonts w:hint="default" w:ascii="仿宋" w:hAnsi="仿宋" w:eastAsia="仿宋" w:cs="宋体"/>
                <w:color w:val="000000"/>
                <w:szCs w:val="24"/>
                <w:lang w:val="en-US" w:eastAsia="zh-CN"/>
              </w:rPr>
            </w:pPr>
            <w:r>
              <w:rPr>
                <w:rFonts w:hint="eastAsia" w:ascii="仿宋" w:hAnsi="仿宋" w:cs="宋体"/>
                <w:color w:val="000000"/>
                <w:szCs w:val="24"/>
              </w:rPr>
              <w:t>1.1.4.</w:t>
            </w:r>
            <w:r>
              <w:rPr>
                <w:rFonts w:hint="eastAsia" w:ascii="仿宋" w:hAnsi="仿宋" w:cs="宋体"/>
                <w:color w:val="000000"/>
                <w:szCs w:val="24"/>
                <w:lang w:val="en-US" w:eastAsia="zh-CN"/>
              </w:rPr>
              <w:t>10</w:t>
            </w:r>
          </w:p>
        </w:tc>
        <w:tc>
          <w:tcPr>
            <w:tcW w:w="994" w:type="pct"/>
            <w:tcBorders>
              <w:top w:val="nil"/>
              <w:left w:val="single" w:color="auto" w:sz="4" w:space="0"/>
              <w:bottom w:val="single" w:color="auto" w:sz="4" w:space="0"/>
              <w:right w:val="single" w:color="auto" w:sz="4" w:space="0"/>
            </w:tcBorders>
            <w:vAlign w:val="center"/>
          </w:tcPr>
          <w:p w14:paraId="326F468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处方/医嘱分析</w:t>
            </w:r>
          </w:p>
        </w:tc>
        <w:tc>
          <w:tcPr>
            <w:tcW w:w="2506" w:type="pct"/>
            <w:tcBorders>
              <w:top w:val="nil"/>
              <w:left w:val="nil"/>
              <w:bottom w:val="single" w:color="auto" w:sz="4" w:space="0"/>
              <w:right w:val="single" w:color="auto" w:sz="4" w:space="0"/>
            </w:tcBorders>
            <w:vAlign w:val="center"/>
          </w:tcPr>
          <w:p w14:paraId="71F0E2FB">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支持处方/医嘱每天自动导入合理用药管理系统，并支持全处方/出院医嘱的自动分析；</w:t>
            </w:r>
          </w:p>
          <w:p w14:paraId="4140BDC1">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支持门诊按单张处方和按患者当天所有处方合并审查，出院按患者进行合并分析；</w:t>
            </w:r>
          </w:p>
          <w:p w14:paraId="6BBC77A4">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支持对处方/医嘱中存在的用法用量、相互作用、配伍禁忌、重复用药、禁忌症、适应症、特殊人群用药、妊娠期用药、哺乳期用药、过敏、给药途径等不合理用药情况进行自动分析。</w:t>
            </w:r>
          </w:p>
        </w:tc>
        <w:tc>
          <w:tcPr>
            <w:tcW w:w="455" w:type="pct"/>
            <w:tcBorders>
              <w:top w:val="nil"/>
              <w:left w:val="nil"/>
              <w:bottom w:val="single" w:color="auto" w:sz="4" w:space="0"/>
              <w:right w:val="single" w:color="auto" w:sz="4" w:space="0"/>
            </w:tcBorders>
            <w:vAlign w:val="center"/>
          </w:tcPr>
          <w:p w14:paraId="3846C950">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B1F6918">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9401DA2">
            <w:pPr>
              <w:widowControl/>
              <w:spacing w:line="240" w:lineRule="auto"/>
              <w:ind w:firstLine="0" w:firstLineChars="0"/>
              <w:jc w:val="left"/>
              <w:rPr>
                <w:rFonts w:hint="eastAsia" w:ascii="仿宋" w:hAnsi="仿宋" w:eastAsia="仿宋" w:cs="宋体"/>
                <w:color w:val="000000"/>
                <w:szCs w:val="24"/>
                <w:lang w:eastAsia="zh-CN"/>
              </w:rPr>
            </w:pPr>
            <w:r>
              <w:rPr>
                <w:rFonts w:hint="eastAsia" w:ascii="仿宋" w:hAnsi="仿宋" w:cs="宋体"/>
                <w:color w:val="000000"/>
                <w:szCs w:val="24"/>
              </w:rPr>
              <w:t>1.1.4.1</w:t>
            </w:r>
            <w:r>
              <w:rPr>
                <w:rFonts w:hint="eastAsia" w:ascii="仿宋" w:hAnsi="仿宋" w:cs="宋体"/>
                <w:color w:val="000000"/>
                <w:szCs w:val="24"/>
                <w:lang w:val="en-US" w:eastAsia="zh-CN"/>
              </w:rPr>
              <w:t>1</w:t>
            </w:r>
            <w:bookmarkStart w:id="0" w:name="_GoBack"/>
            <w:bookmarkEnd w:id="0"/>
          </w:p>
        </w:tc>
        <w:tc>
          <w:tcPr>
            <w:tcW w:w="994" w:type="pct"/>
            <w:tcBorders>
              <w:top w:val="nil"/>
              <w:left w:val="single" w:color="auto" w:sz="4" w:space="0"/>
              <w:bottom w:val="single" w:color="auto" w:sz="4" w:space="0"/>
              <w:right w:val="single" w:color="auto" w:sz="4" w:space="0"/>
            </w:tcBorders>
            <w:vAlign w:val="center"/>
          </w:tcPr>
          <w:p w14:paraId="7BBD7A7C">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分析结果查询</w:t>
            </w:r>
          </w:p>
        </w:tc>
        <w:tc>
          <w:tcPr>
            <w:tcW w:w="2506" w:type="pct"/>
            <w:tcBorders>
              <w:top w:val="nil"/>
              <w:left w:val="nil"/>
              <w:bottom w:val="single" w:color="auto" w:sz="4" w:space="0"/>
              <w:right w:val="single" w:color="auto" w:sz="4" w:space="0"/>
            </w:tcBorders>
            <w:vAlign w:val="center"/>
          </w:tcPr>
          <w:p w14:paraId="2F10CE7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支持药师查看所有处方/医嘱，并可查看系统警示信息及个性化用药规则的分析结果；支持医生登入系统，查看本人的处方和处方分析结果；</w:t>
            </w:r>
          </w:p>
          <w:p w14:paraId="32CCDEBB">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从门诊处方、门诊患者、出院患者维度查看所有处方/医嘱及分析结果；对于门诊处方，提供日期、处方号、患者号、患者姓名、科室、医生、诊断、警示类型、警示等级、药品名称等检索条件，支持根据选择条件筛选并展示相关处方数据及其审查结果；</w:t>
            </w:r>
          </w:p>
          <w:p w14:paraId="78897450">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对于门诊患者，提供日期、患者号、患者姓名、科室、医生、警示类型、警示等级等检索条件，支持根据选择条件筛选并展示相关门诊患者数据及其审查结果；对于出院患者，提供日期、住院号、患者号、患者姓名、病案号、科室、诊断、警示类型、警示等级、药品名称等检索条件，筛选出出院患者信息及审查结果；</w:t>
            </w:r>
          </w:p>
          <w:p w14:paraId="4C400CBC">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支持药师结合医院的实际用药情况，对系统审查产生的警示信息进行确认、待查操作；</w:t>
            </w:r>
          </w:p>
        </w:tc>
        <w:tc>
          <w:tcPr>
            <w:tcW w:w="455" w:type="pct"/>
            <w:tcBorders>
              <w:top w:val="nil"/>
              <w:left w:val="nil"/>
              <w:bottom w:val="single" w:color="auto" w:sz="4" w:space="0"/>
              <w:right w:val="single" w:color="auto" w:sz="4" w:space="0"/>
            </w:tcBorders>
            <w:vAlign w:val="center"/>
          </w:tcPr>
          <w:p w14:paraId="503562E2">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43B7A050">
        <w:tblPrEx>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6F0F944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1.1.5区域统计报表功能</w:t>
            </w:r>
          </w:p>
        </w:tc>
      </w:tr>
      <w:tr w14:paraId="23058116">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68DEC1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w:t>
            </w:r>
          </w:p>
        </w:tc>
        <w:tc>
          <w:tcPr>
            <w:tcW w:w="994" w:type="pct"/>
            <w:tcBorders>
              <w:top w:val="nil"/>
              <w:left w:val="nil"/>
              <w:bottom w:val="single" w:color="auto" w:sz="4" w:space="0"/>
              <w:right w:val="single" w:color="auto" w:sz="4" w:space="0"/>
            </w:tcBorders>
            <w:vAlign w:val="center"/>
          </w:tcPr>
          <w:p w14:paraId="3DA7E03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报表中心</w:t>
            </w:r>
          </w:p>
        </w:tc>
        <w:tc>
          <w:tcPr>
            <w:tcW w:w="2506" w:type="pct"/>
            <w:tcBorders>
              <w:top w:val="nil"/>
              <w:left w:val="nil"/>
              <w:bottom w:val="single" w:color="auto" w:sz="4" w:space="0"/>
              <w:right w:val="single" w:color="auto" w:sz="4" w:space="0"/>
            </w:tcBorders>
            <w:vAlign w:val="center"/>
          </w:tcPr>
          <w:p w14:paraId="6C516323">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根据《国家卫生健康委办公厅关于印发药事管理和护理专业医疗质量控制指标（2025年版）的通知》、《国家二级公立机构绩效考核操作手册（2024版）》、《关于加强基层医疗卫生机构绩效考核的指导意见（试行）》、《国卫办医发〔2015〕42号 关于进一步加强抗菌药物临床应用管理工作的通知》、《抗菌药物临床应用指导原则（2015年版）》、《国家卫生健康委关于印发抗肿瘤药物临床应用管理办法（试行）的通知》、《抗肿瘤药物临床应用管理办法（试行）》、国家卫健委印发关于住院患者静脉输液临床使用管理试点工作方案的通知与安徽省医疗机构静脉输液使用情况评估手册（2023年版）等相关规定的要求，提供合理用药统计相关指标及药品使用情况统计报表；</w:t>
            </w:r>
          </w:p>
        </w:tc>
        <w:tc>
          <w:tcPr>
            <w:tcW w:w="455" w:type="pct"/>
            <w:tcBorders>
              <w:top w:val="nil"/>
              <w:left w:val="nil"/>
              <w:bottom w:val="single" w:color="auto" w:sz="4" w:space="0"/>
              <w:right w:val="single" w:color="auto" w:sz="4" w:space="0"/>
            </w:tcBorders>
            <w:vAlign w:val="center"/>
          </w:tcPr>
          <w:p w14:paraId="095528A9">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7F462BF">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2535EA7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1.1.5.2</w:t>
            </w:r>
          </w:p>
        </w:tc>
        <w:tc>
          <w:tcPr>
            <w:tcW w:w="994" w:type="pct"/>
            <w:tcBorders>
              <w:top w:val="nil"/>
              <w:left w:val="nil"/>
              <w:bottom w:val="single" w:color="auto" w:sz="4" w:space="0"/>
              <w:right w:val="single" w:color="auto" w:sz="4" w:space="0"/>
            </w:tcBorders>
            <w:vAlign w:val="center"/>
          </w:tcPr>
          <w:p w14:paraId="2071411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常用上报报表</w:t>
            </w:r>
          </w:p>
        </w:tc>
        <w:tc>
          <w:tcPr>
            <w:tcW w:w="2506" w:type="pct"/>
            <w:tcBorders>
              <w:top w:val="nil"/>
              <w:left w:val="nil"/>
              <w:bottom w:val="single" w:color="auto" w:sz="4" w:space="0"/>
              <w:right w:val="single" w:color="auto" w:sz="4" w:space="0"/>
            </w:tcBorders>
            <w:vAlign w:val="center"/>
          </w:tcPr>
          <w:p w14:paraId="33DA98A6">
            <w:pPr>
              <w:widowControl/>
              <w:spacing w:line="240" w:lineRule="auto"/>
              <w:ind w:firstLine="0" w:firstLineChars="0"/>
              <w:jc w:val="left"/>
              <w:rPr>
                <w:rFonts w:hint="eastAsia" w:ascii="仿宋" w:hAnsi="仿宋"/>
                <w:color w:val="000000"/>
                <w:szCs w:val="24"/>
              </w:rPr>
            </w:pPr>
            <w:r>
              <w:rPr>
                <w:rFonts w:hint="eastAsia" w:ascii="仿宋" w:hAnsi="仿宋"/>
                <w:color w:val="EE0000"/>
                <w:szCs w:val="24"/>
                <w:lang w:eastAsia="zh-CN"/>
              </w:rPr>
              <w:t xml:space="preserve">  </w:t>
            </w:r>
            <w:r>
              <w:rPr>
                <w:rFonts w:hint="eastAsia" w:ascii="仿宋" w:hAnsi="仿宋"/>
                <w:color w:val="000000"/>
                <w:szCs w:val="24"/>
              </w:rPr>
              <w:t>按照浙江省阳光用药上报相关政策，支持国家基药目录品种使用金额比例(%)、抗菌药物占药品使用比例(%)等指标的统计；</w:t>
            </w:r>
          </w:p>
          <w:p w14:paraId="641EDFDC">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按照《国家三级公立医院绩效考核操作手册》相关要求，支持点评处方占处方总数的比例、点评处方数、处方总数等合理用药相关指标的统计；</w:t>
            </w:r>
          </w:p>
          <w:p w14:paraId="23B76CDA">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按照《国家卫生健康委办公厅关于印发药事管理和护理专业医疗质量控制指标（2020年版）的通知》，支持统计住院患者抗菌药物使用率、住院患者抗菌药物使用强度、住院患者特殊使用级抗菌药物使用量占比等合理用药相关指标的统计；</w:t>
            </w:r>
          </w:p>
          <w:p w14:paraId="4ED79BDF">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按照《抗菌药物临床应用指导原则2015版》相关要求，支持抗菌药物品种数、同一通用名称抗菌药物-注射剂型、同一通用名称抗菌药物-口服剂型等相关指标的统计；</w:t>
            </w:r>
          </w:p>
          <w:p w14:paraId="4083881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报表清单：</w:t>
            </w:r>
          </w:p>
          <w:p w14:paraId="1108982D">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浙江省阳光用药及相关信息上报</w:t>
            </w:r>
          </w:p>
          <w:p w14:paraId="11C2A435">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三级公立医院绩效考核指标统计表</w:t>
            </w:r>
          </w:p>
          <w:p w14:paraId="2934E5AA">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药事管理专业医疗质量控制指标（</w:t>
            </w:r>
            <w:r>
              <w:rPr>
                <w:rFonts w:ascii="仿宋" w:hAnsi="仿宋"/>
                <w:color w:val="000000"/>
                <w:szCs w:val="24"/>
              </w:rPr>
              <w:t>202</w:t>
            </w:r>
            <w:r>
              <w:rPr>
                <w:rFonts w:hint="eastAsia" w:ascii="仿宋" w:hAnsi="仿宋"/>
                <w:color w:val="000000"/>
                <w:szCs w:val="24"/>
              </w:rPr>
              <w:t>5版）</w:t>
            </w:r>
          </w:p>
          <w:p w14:paraId="6D5B8006">
            <w:pPr>
              <w:widowControl/>
              <w:spacing w:line="240" w:lineRule="auto"/>
              <w:ind w:firstLine="0" w:firstLineChars="0"/>
              <w:jc w:val="left"/>
              <w:rPr>
                <w:rFonts w:hint="eastAsia" w:ascii="仿宋" w:hAnsi="仿宋"/>
                <w:color w:val="000000"/>
                <w:szCs w:val="24"/>
              </w:rPr>
            </w:pPr>
            <w:r>
              <w:rPr>
                <w:rFonts w:hint="eastAsia" w:ascii="仿宋" w:hAnsi="仿宋"/>
                <w:color w:val="000000"/>
                <w:szCs w:val="24"/>
              </w:rPr>
              <w:t>抗菌药物临床应用管理评价指标（</w:t>
            </w:r>
            <w:r>
              <w:rPr>
                <w:rFonts w:ascii="仿宋" w:hAnsi="仿宋"/>
                <w:color w:val="000000"/>
                <w:szCs w:val="24"/>
              </w:rPr>
              <w:t>2015</w:t>
            </w:r>
            <w:r>
              <w:rPr>
                <w:rFonts w:hint="eastAsia" w:ascii="仿宋" w:hAnsi="仿宋"/>
                <w:color w:val="000000"/>
                <w:szCs w:val="24"/>
              </w:rPr>
              <w:t>版）</w:t>
            </w:r>
          </w:p>
        </w:tc>
        <w:tc>
          <w:tcPr>
            <w:tcW w:w="455" w:type="pct"/>
            <w:tcBorders>
              <w:top w:val="nil"/>
              <w:left w:val="nil"/>
              <w:bottom w:val="single" w:color="auto" w:sz="4" w:space="0"/>
              <w:right w:val="single" w:color="auto" w:sz="4" w:space="0"/>
            </w:tcBorders>
            <w:vAlign w:val="center"/>
          </w:tcPr>
          <w:p w14:paraId="6A4B5B24">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1FA07E76">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547747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1.1.5.6</w:t>
            </w:r>
          </w:p>
        </w:tc>
        <w:tc>
          <w:tcPr>
            <w:tcW w:w="994" w:type="pct"/>
            <w:tcBorders>
              <w:top w:val="nil"/>
              <w:left w:val="single" w:color="auto" w:sz="4" w:space="0"/>
              <w:bottom w:val="single" w:color="auto" w:sz="4" w:space="0"/>
              <w:right w:val="single" w:color="auto" w:sz="4" w:space="0"/>
            </w:tcBorders>
            <w:vAlign w:val="center"/>
          </w:tcPr>
          <w:p w14:paraId="514C864C">
            <w:pPr>
              <w:widowControl/>
              <w:spacing w:line="240" w:lineRule="auto"/>
              <w:ind w:firstLine="0" w:firstLineChars="0"/>
              <w:jc w:val="left"/>
              <w:rPr>
                <w:rFonts w:hint="eastAsia" w:ascii="仿宋" w:hAnsi="仿宋" w:eastAsia="仿宋" w:cs="宋体"/>
                <w:color w:val="000000"/>
                <w:szCs w:val="24"/>
                <w:lang w:val="en-US" w:eastAsia="zh-CN"/>
              </w:rPr>
            </w:pPr>
            <w:r>
              <w:rPr>
                <w:rFonts w:hint="eastAsia" w:ascii="仿宋" w:hAnsi="仿宋" w:cs="宋体"/>
                <w:color w:val="000000"/>
                <w:szCs w:val="24"/>
              </w:rPr>
              <w:t>广东省医疗机构阳光用药信息</w:t>
            </w:r>
            <w:r>
              <w:rPr>
                <w:rFonts w:hint="eastAsia" w:ascii="仿宋" w:hAnsi="仿宋" w:cs="宋体"/>
                <w:color w:val="000000"/>
                <w:szCs w:val="24"/>
                <w:lang w:val="en-US" w:eastAsia="zh-CN"/>
              </w:rPr>
              <w:t>报表</w:t>
            </w:r>
          </w:p>
        </w:tc>
        <w:tc>
          <w:tcPr>
            <w:tcW w:w="2506" w:type="pct"/>
            <w:tcBorders>
              <w:top w:val="nil"/>
              <w:left w:val="nil"/>
              <w:bottom w:val="single" w:color="auto" w:sz="4" w:space="0"/>
              <w:right w:val="single" w:color="auto" w:sz="4" w:space="0"/>
            </w:tcBorders>
            <w:vAlign w:val="center"/>
          </w:tcPr>
          <w:p w14:paraId="7FC8F5E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按照广东省医疗机构阳光用药信息上报相关要求，支持总收入、门急诊医疗收入、住院医疗收入、医疗收入、门急诊药品收入、住院药品收入、中药饮片收入、药品总收入、药占比（%）等指标的统计；</w:t>
            </w:r>
          </w:p>
          <w:p w14:paraId="5B8FDA5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38B83A0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医疗费用情况</w:t>
            </w:r>
          </w:p>
          <w:p w14:paraId="0E9648F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使用金额前十名并符合监控条件的药品（监控药品）</w:t>
            </w:r>
            <w:r>
              <w:rPr>
                <w:rFonts w:ascii="仿宋" w:hAnsi="仿宋" w:cs="宋体"/>
                <w:color w:val="000000"/>
                <w:szCs w:val="24"/>
              </w:rPr>
              <w:t>-</w:t>
            </w:r>
            <w:r>
              <w:rPr>
                <w:rFonts w:hint="eastAsia" w:ascii="仿宋" w:hAnsi="仿宋" w:cs="宋体"/>
                <w:color w:val="000000"/>
                <w:szCs w:val="24"/>
              </w:rPr>
              <w:t>医生</w:t>
            </w:r>
          </w:p>
          <w:p w14:paraId="367A680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使用金额前十名并符合监控条件的药品（监控药品）</w:t>
            </w:r>
            <w:r>
              <w:rPr>
                <w:rFonts w:ascii="仿宋" w:hAnsi="仿宋" w:cs="宋体"/>
                <w:color w:val="000000"/>
                <w:szCs w:val="24"/>
              </w:rPr>
              <w:t>-</w:t>
            </w:r>
            <w:r>
              <w:rPr>
                <w:rFonts w:hint="eastAsia" w:ascii="仿宋" w:hAnsi="仿宋" w:cs="宋体"/>
                <w:color w:val="000000"/>
                <w:szCs w:val="24"/>
              </w:rPr>
              <w:t>科室</w:t>
            </w:r>
          </w:p>
          <w:p w14:paraId="10F599C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基本药物使用情况统计</w:t>
            </w:r>
          </w:p>
          <w:p w14:paraId="39193AD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抗菌及抗真菌药物使用情况统计</w:t>
            </w:r>
          </w:p>
          <w:p w14:paraId="17F311E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药品使用金额排名前三十个品种及每个品种排名前三名的医生</w:t>
            </w:r>
          </w:p>
          <w:p w14:paraId="63020BC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单张处方金额排名前三十位的门诊医生</w:t>
            </w:r>
          </w:p>
        </w:tc>
        <w:tc>
          <w:tcPr>
            <w:tcW w:w="455" w:type="pct"/>
            <w:tcBorders>
              <w:top w:val="nil"/>
              <w:left w:val="nil"/>
              <w:bottom w:val="single" w:color="auto" w:sz="4" w:space="0"/>
              <w:right w:val="single" w:color="auto" w:sz="4" w:space="0"/>
            </w:tcBorders>
            <w:vAlign w:val="center"/>
          </w:tcPr>
          <w:p w14:paraId="6089C03B">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53F44A2">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18270B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1.1.5.8</w:t>
            </w:r>
          </w:p>
        </w:tc>
        <w:tc>
          <w:tcPr>
            <w:tcW w:w="994" w:type="pct"/>
            <w:tcBorders>
              <w:top w:val="nil"/>
              <w:left w:val="single" w:color="auto" w:sz="4" w:space="0"/>
              <w:bottom w:val="single" w:color="auto" w:sz="4" w:space="0"/>
              <w:right w:val="single" w:color="auto" w:sz="4" w:space="0"/>
            </w:tcBorders>
            <w:vAlign w:val="center"/>
          </w:tcPr>
          <w:p w14:paraId="742A549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抗菌药物专项</w:t>
            </w:r>
          </w:p>
        </w:tc>
        <w:tc>
          <w:tcPr>
            <w:tcW w:w="2506" w:type="pct"/>
            <w:tcBorders>
              <w:top w:val="nil"/>
              <w:left w:val="nil"/>
              <w:bottom w:val="single" w:color="auto" w:sz="4" w:space="0"/>
              <w:right w:val="single" w:color="auto" w:sz="4" w:space="0"/>
            </w:tcBorders>
            <w:vAlign w:val="center"/>
          </w:tcPr>
          <w:p w14:paraId="3BBE05A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提供门诊及住院抗菌药物使用情况的统计，包括抗菌药物处方数、人次数、抗菌药物总金额、使用强度等指标。 </w:t>
            </w:r>
          </w:p>
          <w:p w14:paraId="03EAE75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指标： </w:t>
            </w:r>
          </w:p>
          <w:p w14:paraId="65BA36D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支持按照机构/科室/医生维度查看门诊抗菌药物总金额、品规数、处方数、处方人次数等指标。</w:t>
            </w:r>
          </w:p>
          <w:p w14:paraId="33D5E8F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支持按照机构/科室/病区/医疗组查看住院抗菌药物人次数、非限制级、限制级、特殊级抗菌药物使用人次占比(%)、抗菌药物使用强度等指标。</w:t>
            </w:r>
          </w:p>
          <w:p w14:paraId="3056001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支持按照机构/科室/病区/医疗组查看住院抗菌药物送检人次、抗菌药物治疗使用送检人次、非限制级、限制级、特殊级抗菌药物治疗使用送检人次等指标。</w:t>
            </w:r>
          </w:p>
          <w:p w14:paraId="6E4DBE4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支持按药品查看门诊抗菌药物的使用人次、使用数量、使用金额、消耗总克数、使用量（DDDs）等指标。</w:t>
            </w:r>
          </w:p>
          <w:p w14:paraId="3789A0C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支持按药品查看住院抗菌药物的使用人次、使用数量、使用金额、消耗总克数、使用量（DDDs）等指标。</w:t>
            </w:r>
          </w:p>
          <w:p w14:paraId="35E9DD3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67D8688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门诊抗菌药物使用情况汇总</w:t>
            </w:r>
          </w:p>
          <w:p w14:paraId="742F3CA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住院抗菌药物使用情况汇总</w:t>
            </w:r>
          </w:p>
          <w:p w14:paraId="5336367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住院抗菌药物送检情况分析</w:t>
            </w:r>
          </w:p>
          <w:p w14:paraId="61D5749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门诊抗菌药物使用分析</w:t>
            </w:r>
          </w:p>
          <w:p w14:paraId="636DC7C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住院抗菌药物使用分析</w:t>
            </w:r>
          </w:p>
        </w:tc>
        <w:tc>
          <w:tcPr>
            <w:tcW w:w="455" w:type="pct"/>
            <w:tcBorders>
              <w:top w:val="nil"/>
              <w:left w:val="nil"/>
              <w:bottom w:val="single" w:color="auto" w:sz="4" w:space="0"/>
              <w:right w:val="single" w:color="auto" w:sz="4" w:space="0"/>
            </w:tcBorders>
            <w:vAlign w:val="center"/>
          </w:tcPr>
          <w:p w14:paraId="0595F75C">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662185D">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1D86D02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1.1.5.9</w:t>
            </w:r>
          </w:p>
        </w:tc>
        <w:tc>
          <w:tcPr>
            <w:tcW w:w="994" w:type="pct"/>
            <w:tcBorders>
              <w:top w:val="nil"/>
              <w:left w:val="single" w:color="auto" w:sz="4" w:space="0"/>
              <w:bottom w:val="single" w:color="auto" w:sz="4" w:space="0"/>
              <w:right w:val="single" w:color="auto" w:sz="4" w:space="0"/>
            </w:tcBorders>
            <w:vAlign w:val="center"/>
          </w:tcPr>
          <w:p w14:paraId="57EB9D7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基本药物专项</w:t>
            </w:r>
          </w:p>
        </w:tc>
        <w:tc>
          <w:tcPr>
            <w:tcW w:w="2506" w:type="pct"/>
            <w:tcBorders>
              <w:top w:val="nil"/>
              <w:left w:val="nil"/>
              <w:bottom w:val="single" w:color="auto" w:sz="4" w:space="0"/>
              <w:right w:val="single" w:color="auto" w:sz="4" w:space="0"/>
            </w:tcBorders>
            <w:vAlign w:val="center"/>
          </w:tcPr>
          <w:p w14:paraId="05D6A3C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提供基药及省基药的使用情况统计，包括基本药物处方数、总金额、人次数等指标。</w:t>
            </w:r>
          </w:p>
          <w:p w14:paraId="1655FAA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7B7DF86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支持按照机构/科室/医生维度查看门诊基本药物处方数、处方人次、基本药物总金额等指标；</w:t>
            </w:r>
          </w:p>
          <w:p w14:paraId="2E3CD4E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支持按照机构/科室/医生维度查看门诊省级基本药物处方数、处方人次、基本药物总金额等指标；</w:t>
            </w:r>
          </w:p>
          <w:p w14:paraId="6EC04CD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支持按照机构/科室/病区/医疗组维度查看住院基本药物累计品规数、总金额、人次数等指标；</w:t>
            </w:r>
          </w:p>
          <w:p w14:paraId="6251241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支持按照机构/科室/病区/医疗组维度查看住院省级基本药物累计品规数、总金额、人次数等指标。</w:t>
            </w:r>
          </w:p>
          <w:p w14:paraId="5DE302A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68E9177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门诊基本药物使用情况汇总</w:t>
            </w:r>
          </w:p>
          <w:p w14:paraId="5135C11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门诊省基本药物使用情况汇总</w:t>
            </w:r>
          </w:p>
          <w:p w14:paraId="163D642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住院基本药物使用情况汇总</w:t>
            </w:r>
          </w:p>
          <w:p w14:paraId="0504B46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住院省基本药物使用情况汇总</w:t>
            </w:r>
          </w:p>
        </w:tc>
        <w:tc>
          <w:tcPr>
            <w:tcW w:w="455" w:type="pct"/>
            <w:tcBorders>
              <w:top w:val="nil"/>
              <w:left w:val="nil"/>
              <w:bottom w:val="single" w:color="auto" w:sz="4" w:space="0"/>
              <w:right w:val="single" w:color="auto" w:sz="4" w:space="0"/>
            </w:tcBorders>
            <w:vAlign w:val="center"/>
          </w:tcPr>
          <w:p w14:paraId="2089828D">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96CD368">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520BBA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1.1.5.10</w:t>
            </w:r>
          </w:p>
        </w:tc>
        <w:tc>
          <w:tcPr>
            <w:tcW w:w="994" w:type="pct"/>
            <w:tcBorders>
              <w:top w:val="nil"/>
              <w:left w:val="single" w:color="auto" w:sz="4" w:space="0"/>
              <w:bottom w:val="single" w:color="auto" w:sz="4" w:space="0"/>
              <w:right w:val="single" w:color="auto" w:sz="4" w:space="0"/>
            </w:tcBorders>
            <w:vAlign w:val="center"/>
          </w:tcPr>
          <w:p w14:paraId="13CBBBA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输液药物专项</w:t>
            </w:r>
          </w:p>
        </w:tc>
        <w:tc>
          <w:tcPr>
            <w:tcW w:w="2506" w:type="pct"/>
            <w:tcBorders>
              <w:top w:val="nil"/>
              <w:left w:val="nil"/>
              <w:bottom w:val="single" w:color="auto" w:sz="4" w:space="0"/>
              <w:right w:val="single" w:color="auto" w:sz="4" w:space="0"/>
            </w:tcBorders>
            <w:vAlign w:val="center"/>
          </w:tcPr>
          <w:p w14:paraId="20A118E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提供门诊及住院静脉输液药品、抗菌药物静脉输液药品的使用情况统计，包括输液药物总金额、静脉输液使用量（瓶/袋）、抗菌药物输液处方数等指标。</w:t>
            </w:r>
          </w:p>
          <w:p w14:paraId="5F4533F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7CE6EFE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支持按照机构/科室/医生维度查看门诊输液药物处方数、总金额、静脉输液使用量（瓶/袋）、输液处方人次（≥14岁）、输液处方人次（＜14岁）等指标。</w:t>
            </w:r>
          </w:p>
          <w:p w14:paraId="428E701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支持按照机构/科室/医生维度查看门诊抗菌药物输液处方数、处方人次、抗菌药物输液使用量（累计DDD数）等指标。</w:t>
            </w:r>
          </w:p>
          <w:p w14:paraId="6D6E45D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支持按照机构/科室/病区/医疗组维度查看住院输液药物人次、总金额、静脉输液使用量（瓶/袋）、输液人次（≥14岁）、输液人次（＜14岁）等指标。</w:t>
            </w:r>
          </w:p>
          <w:p w14:paraId="3A79569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支持按照机构/科室/病区/医疗组维度查看住院抗菌药物输液人次、抗菌药物输液使用量（累计DDD数）、非限制级、限制级及特殊级抗菌药物输液人次等指标。</w:t>
            </w:r>
          </w:p>
          <w:p w14:paraId="5BFCB04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0802AB0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门诊输液药物使用情况汇总</w:t>
            </w:r>
          </w:p>
          <w:p w14:paraId="6968A16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门诊抗菌药物输液情况汇总</w:t>
            </w:r>
          </w:p>
          <w:p w14:paraId="7DC58FD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住院输液药物使用情况汇总</w:t>
            </w:r>
          </w:p>
          <w:p w14:paraId="09EAC22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住院抗菌药物输液情况汇总</w:t>
            </w:r>
          </w:p>
        </w:tc>
        <w:tc>
          <w:tcPr>
            <w:tcW w:w="455" w:type="pct"/>
            <w:tcBorders>
              <w:top w:val="nil"/>
              <w:left w:val="nil"/>
              <w:bottom w:val="single" w:color="auto" w:sz="4" w:space="0"/>
              <w:right w:val="single" w:color="auto" w:sz="4" w:space="0"/>
            </w:tcBorders>
            <w:vAlign w:val="center"/>
          </w:tcPr>
          <w:p w14:paraId="0E27D6EC">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4A0C4F7">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25614C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1.1.5.11</w:t>
            </w:r>
          </w:p>
        </w:tc>
        <w:tc>
          <w:tcPr>
            <w:tcW w:w="994" w:type="pct"/>
            <w:tcBorders>
              <w:top w:val="nil"/>
              <w:left w:val="single" w:color="auto" w:sz="4" w:space="0"/>
              <w:bottom w:val="single" w:color="auto" w:sz="4" w:space="0"/>
              <w:right w:val="single" w:color="auto" w:sz="4" w:space="0"/>
            </w:tcBorders>
            <w:vAlign w:val="center"/>
          </w:tcPr>
          <w:p w14:paraId="3B672D2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质子泵专项</w:t>
            </w:r>
          </w:p>
        </w:tc>
        <w:tc>
          <w:tcPr>
            <w:tcW w:w="2506" w:type="pct"/>
            <w:tcBorders>
              <w:top w:val="nil"/>
              <w:left w:val="nil"/>
              <w:bottom w:val="single" w:color="auto" w:sz="4" w:space="0"/>
              <w:right w:val="single" w:color="auto" w:sz="4" w:space="0"/>
            </w:tcBorders>
            <w:vAlign w:val="center"/>
          </w:tcPr>
          <w:p w14:paraId="2D77D14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提供门诊及住院质子泵抑制剂的使用情况统计，包括质子泵抑制剂处方数、人次数、总金额等指标。</w:t>
            </w:r>
          </w:p>
          <w:p w14:paraId="68A3E2D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724304D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支持按照机构/科室/医生维度查看门诊质子泵抑制剂累计品规数、处方数、总金额等指标。</w:t>
            </w:r>
          </w:p>
          <w:p w14:paraId="101E5E3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支持按照机构/科室/病区/医疗组维度查看住院质子泵抑制剂累计品规数、人次数、总金额等指标。</w:t>
            </w:r>
          </w:p>
          <w:p w14:paraId="7810316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2045023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门诊质子泵抑制剂使用情况汇总</w:t>
            </w:r>
          </w:p>
          <w:p w14:paraId="003CAA8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住院质子泵抑制剂使用情况汇总</w:t>
            </w:r>
          </w:p>
        </w:tc>
        <w:tc>
          <w:tcPr>
            <w:tcW w:w="455" w:type="pct"/>
            <w:tcBorders>
              <w:top w:val="nil"/>
              <w:left w:val="nil"/>
              <w:bottom w:val="single" w:color="auto" w:sz="4" w:space="0"/>
              <w:right w:val="single" w:color="auto" w:sz="4" w:space="0"/>
            </w:tcBorders>
            <w:vAlign w:val="center"/>
          </w:tcPr>
          <w:p w14:paraId="32670111">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4D33E28B">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0923C23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1.1.5.12</w:t>
            </w:r>
          </w:p>
        </w:tc>
        <w:tc>
          <w:tcPr>
            <w:tcW w:w="994" w:type="pct"/>
            <w:tcBorders>
              <w:top w:val="nil"/>
              <w:left w:val="single" w:color="auto" w:sz="4" w:space="0"/>
              <w:bottom w:val="single" w:color="auto" w:sz="4" w:space="0"/>
              <w:right w:val="single" w:color="auto" w:sz="4" w:space="0"/>
            </w:tcBorders>
            <w:vAlign w:val="center"/>
          </w:tcPr>
          <w:p w14:paraId="3BDDE58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中药使用专项</w:t>
            </w:r>
          </w:p>
        </w:tc>
        <w:tc>
          <w:tcPr>
            <w:tcW w:w="2506" w:type="pct"/>
            <w:tcBorders>
              <w:top w:val="nil"/>
              <w:left w:val="nil"/>
              <w:bottom w:val="single" w:color="auto" w:sz="4" w:space="0"/>
              <w:right w:val="single" w:color="auto" w:sz="4" w:space="0"/>
            </w:tcBorders>
            <w:vAlign w:val="center"/>
          </w:tcPr>
          <w:p w14:paraId="76C0913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提供中药饮片使用情况相关统计，包括处方数、药品金额、帖数、中药注射剂处方数等指标。</w:t>
            </w:r>
          </w:p>
          <w:p w14:paraId="5490875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指标: </w:t>
            </w:r>
          </w:p>
          <w:p w14:paraId="47A4AE4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支持按照机构/科室/医生维度查看门诊中药饮片处方数、处方人次、中药饮片总金额、中药饮片总帖数、帖均费用等指标。</w:t>
            </w:r>
          </w:p>
          <w:p w14:paraId="13BFCBC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支持按照机构/科室/病区/医疗组维度查看住院中药饮片人次数、中药饮片总金额、中药注射剂人次数等指标。</w:t>
            </w:r>
          </w:p>
          <w:p w14:paraId="3FF9DBF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6F78C64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门诊中药使用情况汇总</w:t>
            </w:r>
          </w:p>
          <w:p w14:paraId="4ABC804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住院中药使用情况汇总</w:t>
            </w:r>
          </w:p>
        </w:tc>
        <w:tc>
          <w:tcPr>
            <w:tcW w:w="455" w:type="pct"/>
            <w:tcBorders>
              <w:top w:val="nil"/>
              <w:left w:val="nil"/>
              <w:bottom w:val="single" w:color="auto" w:sz="4" w:space="0"/>
              <w:right w:val="single" w:color="auto" w:sz="4" w:space="0"/>
            </w:tcBorders>
            <w:vAlign w:val="center"/>
          </w:tcPr>
          <w:p w14:paraId="3C92221F">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1EFF016">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5D1B80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1.1.5.13</w:t>
            </w:r>
          </w:p>
        </w:tc>
        <w:tc>
          <w:tcPr>
            <w:tcW w:w="994" w:type="pct"/>
            <w:tcBorders>
              <w:top w:val="nil"/>
              <w:left w:val="single" w:color="auto" w:sz="4" w:space="0"/>
              <w:bottom w:val="single" w:color="auto" w:sz="4" w:space="0"/>
              <w:right w:val="single" w:color="auto" w:sz="4" w:space="0"/>
            </w:tcBorders>
            <w:vAlign w:val="center"/>
          </w:tcPr>
          <w:p w14:paraId="498DC30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重点监控药品</w:t>
            </w:r>
          </w:p>
        </w:tc>
        <w:tc>
          <w:tcPr>
            <w:tcW w:w="2506" w:type="pct"/>
            <w:tcBorders>
              <w:top w:val="nil"/>
              <w:left w:val="nil"/>
              <w:bottom w:val="single" w:color="auto" w:sz="4" w:space="0"/>
              <w:right w:val="single" w:color="auto" w:sz="4" w:space="0"/>
            </w:tcBorders>
            <w:vAlign w:val="center"/>
          </w:tcPr>
          <w:p w14:paraId="0B50A2E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提供国家级、省级重点监控药品相关统计，包括药品总金额、处方数、处方人次等指标。</w:t>
            </w:r>
          </w:p>
          <w:p w14:paraId="2F857C9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2F09611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支持按照机构/科室/医生维度查看门诊国家重点监控药品处方数、处方人次数、用药总金额等指标。</w:t>
            </w:r>
          </w:p>
          <w:p w14:paraId="2AFA6AC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支持按照机构/科室/医生维度查看门诊省重点监控药品省重点监控药品处方数、处方人次数、用药总金额等指标。</w:t>
            </w:r>
          </w:p>
          <w:p w14:paraId="63E03FF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支持按照机构/科室/病区/医疗组维度查看住院国家重点监控药品省重点监控药品人次数、用药总金额等指标。</w:t>
            </w:r>
          </w:p>
          <w:p w14:paraId="2D03E75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支持按照机构/科室/病区/医疗组维度查看住院省重点监控药品省重点监控药品人次数、用药总金额等指标。</w:t>
            </w:r>
          </w:p>
          <w:p w14:paraId="09CEB5F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5A26C76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门诊国家重点监控药品使用情况汇总</w:t>
            </w:r>
          </w:p>
          <w:p w14:paraId="1CBB8C2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门诊省重点监控药品使用情况汇总</w:t>
            </w:r>
          </w:p>
          <w:p w14:paraId="61FBE18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住院国家重点监控药品使用情况汇总</w:t>
            </w:r>
          </w:p>
          <w:p w14:paraId="5E7FBF4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住院省重点监控药品使用情况汇总</w:t>
            </w:r>
          </w:p>
        </w:tc>
        <w:tc>
          <w:tcPr>
            <w:tcW w:w="455" w:type="pct"/>
            <w:tcBorders>
              <w:top w:val="nil"/>
              <w:left w:val="nil"/>
              <w:bottom w:val="single" w:color="auto" w:sz="4" w:space="0"/>
              <w:right w:val="single" w:color="auto" w:sz="4" w:space="0"/>
            </w:tcBorders>
            <w:vAlign w:val="center"/>
          </w:tcPr>
          <w:p w14:paraId="65D9070A">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2F08972">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3D63D78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1.1.5.14</w:t>
            </w:r>
          </w:p>
        </w:tc>
        <w:tc>
          <w:tcPr>
            <w:tcW w:w="994" w:type="pct"/>
            <w:tcBorders>
              <w:top w:val="nil"/>
              <w:left w:val="single" w:color="auto" w:sz="4" w:space="0"/>
              <w:bottom w:val="single" w:color="auto" w:sz="4" w:space="0"/>
              <w:right w:val="single" w:color="auto" w:sz="4" w:space="0"/>
            </w:tcBorders>
            <w:vAlign w:val="center"/>
          </w:tcPr>
          <w:p w14:paraId="3A50000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手术用药专项</w:t>
            </w:r>
          </w:p>
        </w:tc>
        <w:tc>
          <w:tcPr>
            <w:tcW w:w="2506" w:type="pct"/>
            <w:tcBorders>
              <w:top w:val="nil"/>
              <w:left w:val="nil"/>
              <w:bottom w:val="single" w:color="auto" w:sz="4" w:space="0"/>
              <w:right w:val="single" w:color="auto" w:sz="4" w:space="0"/>
            </w:tcBorders>
            <w:vAlign w:val="center"/>
          </w:tcPr>
          <w:p w14:paraId="606B076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提供I类切口手术预防使用抗菌药物情况的相关统计。</w:t>
            </w:r>
          </w:p>
          <w:p w14:paraId="0507DDE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19D988F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支持按照医院/科室/病区/医疗组查看I类切口手术预防使用抗菌药物例次、原则上不需要预防使用抗菌药物的I类切口手术例次、I类切口手术预防使用抗菌药物品种选择合理例次等指标。</w:t>
            </w:r>
          </w:p>
          <w:p w14:paraId="49684A9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支持按照I类切口手术维度查看手术例数、预防用抗菌药物例数、术前24h内使用抗菌药物例数等指标。</w:t>
            </w:r>
          </w:p>
          <w:p w14:paraId="41025B0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126BAD2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围手术期抗菌药物使用情况表</w:t>
            </w:r>
          </w:p>
          <w:p w14:paraId="2A1CF56A">
            <w:pPr>
              <w:widowControl/>
              <w:spacing w:line="240" w:lineRule="auto"/>
              <w:ind w:firstLine="0" w:firstLineChars="0"/>
              <w:jc w:val="left"/>
              <w:rPr>
                <w:rFonts w:hint="eastAsia" w:ascii="仿宋" w:hAnsi="仿宋" w:cs="宋体"/>
                <w:color w:val="000000"/>
                <w:szCs w:val="24"/>
              </w:rPr>
            </w:pPr>
            <w:r>
              <w:rPr>
                <w:rFonts w:ascii="仿宋" w:hAnsi="仿宋" w:cs="宋体"/>
                <w:color w:val="000000"/>
                <w:szCs w:val="24"/>
              </w:rPr>
              <w:t>I</w:t>
            </w:r>
            <w:r>
              <w:rPr>
                <w:rFonts w:hint="eastAsia" w:ascii="仿宋" w:hAnsi="仿宋" w:cs="宋体"/>
                <w:color w:val="000000"/>
                <w:szCs w:val="24"/>
              </w:rPr>
              <w:t>类切口手术汇总表</w:t>
            </w:r>
          </w:p>
        </w:tc>
        <w:tc>
          <w:tcPr>
            <w:tcW w:w="455" w:type="pct"/>
            <w:tcBorders>
              <w:top w:val="nil"/>
              <w:left w:val="nil"/>
              <w:bottom w:val="single" w:color="auto" w:sz="4" w:space="0"/>
              <w:right w:val="single" w:color="auto" w:sz="4" w:space="0"/>
            </w:tcBorders>
            <w:vAlign w:val="center"/>
          </w:tcPr>
          <w:p w14:paraId="33FFAF30">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B45A8E3">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695B87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1.1.5.15</w:t>
            </w:r>
          </w:p>
        </w:tc>
        <w:tc>
          <w:tcPr>
            <w:tcW w:w="994" w:type="pct"/>
            <w:tcBorders>
              <w:top w:val="nil"/>
              <w:left w:val="single" w:color="auto" w:sz="4" w:space="0"/>
              <w:bottom w:val="single" w:color="auto" w:sz="4" w:space="0"/>
              <w:right w:val="single" w:color="auto" w:sz="4" w:space="0"/>
            </w:tcBorders>
            <w:vAlign w:val="center"/>
          </w:tcPr>
          <w:p w14:paraId="68D3560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药品使用分析</w:t>
            </w:r>
          </w:p>
        </w:tc>
        <w:tc>
          <w:tcPr>
            <w:tcW w:w="2506" w:type="pct"/>
            <w:tcBorders>
              <w:top w:val="nil"/>
              <w:left w:val="nil"/>
              <w:bottom w:val="single" w:color="auto" w:sz="4" w:space="0"/>
              <w:right w:val="single" w:color="auto" w:sz="4" w:space="0"/>
            </w:tcBorders>
            <w:vAlign w:val="center"/>
          </w:tcPr>
          <w:p w14:paraId="0E3FE14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提供药品使用情况统计，包括处方总数、处方总金额、平均处方金额、出院患者总人次、出院患者用药总金额等指标。</w:t>
            </w:r>
          </w:p>
          <w:p w14:paraId="43B2258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24558EF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支持查看全院用药总金额、全院基本药物总金额、基本药物金额占比(%)、全院抗菌药物总金额、全院抗菌药物金额占比(%)等指标。</w:t>
            </w:r>
          </w:p>
          <w:p w14:paraId="27E18CD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支持按照机构/科室/医生维度查看门诊总处方数、总处方人次、平均处方药品品规数、人均药品品规数、处方数（不含中药饮片）、处方人次（不含中药饮片）等指标。</w:t>
            </w:r>
          </w:p>
          <w:p w14:paraId="27562FA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支持按照机构/科室/病区/医疗组维度查看住院出院患者总人次、出院患者住院总天数、平均住院天数、人均药品品规数、抗菌药物人次等指标。</w:t>
            </w:r>
          </w:p>
          <w:p w14:paraId="306EE71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支持按照机构/科室/医生维度查看门诊总费用、处方总金额、处方总金额（不含中药饮片）、用药总金额、用药总金额（不含中药饮片）、人均药品费用等指标。</w:t>
            </w:r>
          </w:p>
          <w:p w14:paraId="7D9DC43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支持按照机构/科室/病区/医疗组维度查看出院患者用药总金额、平均每床日费用、平均出院患者费用、平均出院患者药品费用等指标。</w:t>
            </w:r>
          </w:p>
          <w:p w14:paraId="287E457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0F3C5A2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全院药品使用分析</w:t>
            </w:r>
            <w:r>
              <w:rPr>
                <w:rFonts w:ascii="仿宋" w:hAnsi="仿宋" w:cs="宋体"/>
                <w:color w:val="000000"/>
                <w:szCs w:val="24"/>
              </w:rPr>
              <w:t xml:space="preserve"> </w:t>
            </w:r>
          </w:p>
          <w:p w14:paraId="195A3A5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门诊药品用量分析</w:t>
            </w:r>
            <w:r>
              <w:rPr>
                <w:rFonts w:ascii="仿宋" w:hAnsi="仿宋" w:cs="宋体"/>
                <w:color w:val="000000"/>
                <w:szCs w:val="24"/>
              </w:rPr>
              <w:t xml:space="preserve"> </w:t>
            </w:r>
          </w:p>
          <w:p w14:paraId="357C143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住院药品用量分析</w:t>
            </w:r>
            <w:r>
              <w:rPr>
                <w:rFonts w:ascii="仿宋" w:hAnsi="仿宋" w:cs="宋体"/>
                <w:color w:val="000000"/>
                <w:szCs w:val="24"/>
              </w:rPr>
              <w:t xml:space="preserve"> </w:t>
            </w:r>
          </w:p>
          <w:p w14:paraId="54BB877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门诊药品金额分析</w:t>
            </w:r>
            <w:r>
              <w:rPr>
                <w:rFonts w:ascii="仿宋" w:hAnsi="仿宋" w:cs="宋体"/>
                <w:color w:val="000000"/>
                <w:szCs w:val="24"/>
              </w:rPr>
              <w:t xml:space="preserve"> </w:t>
            </w:r>
          </w:p>
          <w:p w14:paraId="0E97EA1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住院药品金额分析</w:t>
            </w:r>
          </w:p>
        </w:tc>
        <w:tc>
          <w:tcPr>
            <w:tcW w:w="455" w:type="pct"/>
            <w:tcBorders>
              <w:top w:val="nil"/>
              <w:left w:val="nil"/>
              <w:bottom w:val="single" w:color="auto" w:sz="4" w:space="0"/>
              <w:right w:val="single" w:color="auto" w:sz="4" w:space="0"/>
            </w:tcBorders>
            <w:vAlign w:val="center"/>
          </w:tcPr>
          <w:p w14:paraId="74FC39E3">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1B0A807B">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BA2B8A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1.1.5.16</w:t>
            </w:r>
          </w:p>
        </w:tc>
        <w:tc>
          <w:tcPr>
            <w:tcW w:w="994" w:type="pct"/>
            <w:tcBorders>
              <w:top w:val="nil"/>
              <w:left w:val="single" w:color="auto" w:sz="4" w:space="0"/>
              <w:bottom w:val="single" w:color="auto" w:sz="4" w:space="0"/>
              <w:right w:val="single" w:color="auto" w:sz="4" w:space="0"/>
            </w:tcBorders>
            <w:vAlign w:val="center"/>
          </w:tcPr>
          <w:p w14:paraId="3C923A4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药品适宜性分析报表</w:t>
            </w:r>
          </w:p>
        </w:tc>
        <w:tc>
          <w:tcPr>
            <w:tcW w:w="2506" w:type="pct"/>
            <w:tcBorders>
              <w:top w:val="nil"/>
              <w:left w:val="nil"/>
              <w:bottom w:val="single" w:color="auto" w:sz="4" w:space="0"/>
              <w:right w:val="single" w:color="auto" w:sz="4" w:space="0"/>
            </w:tcBorders>
            <w:vAlign w:val="center"/>
          </w:tcPr>
          <w:p w14:paraId="3B1E272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提供药品适宜性分析，系统默认提供四级、五级、六级、七级不同类型的警示信息统计分析。</w:t>
            </w:r>
          </w:p>
          <w:p w14:paraId="0ECFE84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590F4DC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支持按照机构/科室/医生维度查看门诊处方合格率、不规范处方数、不规范处方占比(%)、不适宜问题发生数等指标。</w:t>
            </w:r>
          </w:p>
          <w:p w14:paraId="3B279E8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支持按照问题维度查看不同类型警示信息的发生数、四级、五级、六级、七级警示信息发生的处方数以及处方占比等指标。</w:t>
            </w:r>
          </w:p>
          <w:p w14:paraId="79F9E66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支持按照机构/科室/病区/医疗组维度查看不适宜问题发生数、四级、五级、六级、七级警示的人次数、人次占比(%)等指标。</w:t>
            </w:r>
          </w:p>
          <w:p w14:paraId="0308E83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支持按照问题维度查看不同类型警示信息四级、五级、六级、七级警示的人次数、人次占比(%)等指标。</w:t>
            </w:r>
          </w:p>
          <w:p w14:paraId="51953E3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支持查看门诊药品不适宜问题发生数、不同类型警示信息的发生数、发生数占比(%)等指标。</w:t>
            </w:r>
          </w:p>
          <w:p w14:paraId="6581762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支持查看住院药品不适宜问题发生数、不同类型警示信息的发生数、发生数占比(%)等指标。</w:t>
            </w:r>
          </w:p>
          <w:p w14:paraId="329DFD9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7216AB1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门诊用药适宜性分析</w:t>
            </w:r>
            <w:r>
              <w:rPr>
                <w:rFonts w:ascii="仿宋" w:hAnsi="仿宋" w:cs="宋体"/>
                <w:color w:val="000000"/>
                <w:szCs w:val="24"/>
              </w:rPr>
              <w:t xml:space="preserve"> </w:t>
            </w:r>
          </w:p>
          <w:p w14:paraId="6AAEDA1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门诊用药适宜性一览表</w:t>
            </w:r>
            <w:r>
              <w:rPr>
                <w:rFonts w:ascii="仿宋" w:hAnsi="仿宋" w:cs="宋体"/>
                <w:color w:val="000000"/>
                <w:szCs w:val="24"/>
              </w:rPr>
              <w:t xml:space="preserve"> </w:t>
            </w:r>
          </w:p>
          <w:p w14:paraId="50F16F8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住院用药适宜性分析</w:t>
            </w:r>
            <w:r>
              <w:rPr>
                <w:rFonts w:ascii="仿宋" w:hAnsi="仿宋" w:cs="宋体"/>
                <w:color w:val="000000"/>
                <w:szCs w:val="24"/>
              </w:rPr>
              <w:t xml:space="preserve"> </w:t>
            </w:r>
          </w:p>
          <w:p w14:paraId="594FAF2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住院用药适宜性一览表</w:t>
            </w:r>
            <w:r>
              <w:rPr>
                <w:rFonts w:ascii="仿宋" w:hAnsi="仿宋" w:cs="宋体"/>
                <w:color w:val="000000"/>
                <w:szCs w:val="24"/>
              </w:rPr>
              <w:t xml:space="preserve"> </w:t>
            </w:r>
          </w:p>
          <w:p w14:paraId="6100798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门诊药品用药问题统计</w:t>
            </w:r>
            <w:r>
              <w:rPr>
                <w:rFonts w:ascii="仿宋" w:hAnsi="仿宋" w:cs="宋体"/>
                <w:color w:val="000000"/>
                <w:szCs w:val="24"/>
              </w:rPr>
              <w:t xml:space="preserve"> </w:t>
            </w:r>
          </w:p>
          <w:p w14:paraId="50D19ED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住院药品用药问题统计</w:t>
            </w:r>
          </w:p>
        </w:tc>
        <w:tc>
          <w:tcPr>
            <w:tcW w:w="455" w:type="pct"/>
            <w:tcBorders>
              <w:top w:val="nil"/>
              <w:left w:val="nil"/>
              <w:bottom w:val="single" w:color="auto" w:sz="4" w:space="0"/>
              <w:right w:val="single" w:color="auto" w:sz="4" w:space="0"/>
            </w:tcBorders>
            <w:vAlign w:val="center"/>
          </w:tcPr>
          <w:p w14:paraId="14C66B2E">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59AD238">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8025EB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1.1.5.17</w:t>
            </w:r>
          </w:p>
        </w:tc>
        <w:tc>
          <w:tcPr>
            <w:tcW w:w="994" w:type="pct"/>
            <w:tcBorders>
              <w:top w:val="nil"/>
              <w:left w:val="single" w:color="auto" w:sz="4" w:space="0"/>
              <w:bottom w:val="single" w:color="auto" w:sz="4" w:space="0"/>
              <w:right w:val="single" w:color="auto" w:sz="4" w:space="0"/>
            </w:tcBorders>
            <w:vAlign w:val="center"/>
          </w:tcPr>
          <w:p w14:paraId="1DF90F4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药品使用排名</w:t>
            </w:r>
          </w:p>
        </w:tc>
        <w:tc>
          <w:tcPr>
            <w:tcW w:w="2506" w:type="pct"/>
            <w:tcBorders>
              <w:top w:val="nil"/>
              <w:left w:val="nil"/>
              <w:bottom w:val="single" w:color="auto" w:sz="4" w:space="0"/>
              <w:right w:val="single" w:color="auto" w:sz="4" w:space="0"/>
            </w:tcBorders>
            <w:vAlign w:val="center"/>
          </w:tcPr>
          <w:p w14:paraId="7A9065D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提供全院药品使用及医生用药情况排名。</w:t>
            </w:r>
          </w:p>
          <w:p w14:paraId="10A0F6A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0A241C9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支持按药品查看使用人次、使用频次、使用数量及使用金额，同时支持查看药品使用的医院明细及科室明细。</w:t>
            </w:r>
          </w:p>
          <w:p w14:paraId="2669D39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支持按医生查看用药数量、抗菌药物使用数量、抗菌药物使用数量占药品使用比例(%)、用药总金额等指标。</w:t>
            </w:r>
          </w:p>
          <w:p w14:paraId="44E69ED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5E699D2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全院药品使用排名</w:t>
            </w:r>
            <w:r>
              <w:rPr>
                <w:rFonts w:ascii="仿宋" w:hAnsi="仿宋" w:cs="宋体"/>
                <w:color w:val="000000"/>
                <w:szCs w:val="24"/>
              </w:rPr>
              <w:t xml:space="preserve"> </w:t>
            </w:r>
          </w:p>
          <w:p w14:paraId="76CC5E2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全院医生用药排名</w:t>
            </w:r>
          </w:p>
        </w:tc>
        <w:tc>
          <w:tcPr>
            <w:tcW w:w="455" w:type="pct"/>
            <w:tcBorders>
              <w:top w:val="nil"/>
              <w:left w:val="nil"/>
              <w:bottom w:val="single" w:color="auto" w:sz="4" w:space="0"/>
              <w:right w:val="single" w:color="auto" w:sz="4" w:space="0"/>
            </w:tcBorders>
            <w:vAlign w:val="center"/>
          </w:tcPr>
          <w:p w14:paraId="1945CB74">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9A5710F">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7672764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1.1.5.18</w:t>
            </w:r>
          </w:p>
        </w:tc>
        <w:tc>
          <w:tcPr>
            <w:tcW w:w="994" w:type="pct"/>
            <w:tcBorders>
              <w:top w:val="nil"/>
              <w:left w:val="single" w:color="auto" w:sz="4" w:space="0"/>
              <w:bottom w:val="single" w:color="auto" w:sz="4" w:space="0"/>
              <w:right w:val="single" w:color="auto" w:sz="4" w:space="0"/>
            </w:tcBorders>
            <w:vAlign w:val="center"/>
          </w:tcPr>
          <w:p w14:paraId="203026E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药费增长趋势</w:t>
            </w:r>
          </w:p>
        </w:tc>
        <w:tc>
          <w:tcPr>
            <w:tcW w:w="2506" w:type="pct"/>
            <w:tcBorders>
              <w:top w:val="nil"/>
              <w:left w:val="nil"/>
              <w:bottom w:val="single" w:color="auto" w:sz="4" w:space="0"/>
              <w:right w:val="single" w:color="auto" w:sz="4" w:space="0"/>
            </w:tcBorders>
            <w:vAlign w:val="center"/>
          </w:tcPr>
          <w:p w14:paraId="22C2078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提供门诊及住院费用增长情况的同比分析指标。</w:t>
            </w:r>
          </w:p>
          <w:p w14:paraId="08A722C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指标：</w:t>
            </w:r>
          </w:p>
          <w:p w14:paraId="0EED0AC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支持按照机构/科室/医生维度查看门诊就诊总人次、就诊人次数同比增长(%)、次均费用、次均费用同比增长比率(%)、次均药费、次均药费同比增长比率(%)等指标。</w:t>
            </w:r>
          </w:p>
          <w:p w14:paraId="36C229E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支持按照机构/科室/病区/医疗组维度查看出院患者总人次、平均住院天数、平均住院天数同比增长比率(%)、次均费用、次均费用同比增长比率(%)、次均药费、次均药费同比增长比率(%)等指标。</w:t>
            </w:r>
          </w:p>
          <w:p w14:paraId="5BB7906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报表清单：</w:t>
            </w:r>
            <w:r>
              <w:rPr>
                <w:rFonts w:ascii="仿宋" w:hAnsi="仿宋" w:cs="宋体"/>
                <w:color w:val="000000"/>
                <w:szCs w:val="24"/>
              </w:rPr>
              <w:br w:type="textWrapping"/>
            </w:r>
            <w:r>
              <w:rPr>
                <w:rFonts w:hint="eastAsia" w:ascii="仿宋" w:hAnsi="仿宋" w:cs="宋体"/>
                <w:color w:val="000000"/>
                <w:szCs w:val="24"/>
              </w:rPr>
              <w:t>门诊药费增长分析表</w:t>
            </w:r>
            <w:r>
              <w:rPr>
                <w:rFonts w:ascii="仿宋" w:hAnsi="仿宋" w:cs="宋体"/>
                <w:color w:val="000000"/>
                <w:szCs w:val="24"/>
              </w:rPr>
              <w:t xml:space="preserve"> </w:t>
            </w:r>
          </w:p>
          <w:p w14:paraId="725082A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住院药费增长分析表</w:t>
            </w:r>
          </w:p>
        </w:tc>
        <w:tc>
          <w:tcPr>
            <w:tcW w:w="455" w:type="pct"/>
            <w:tcBorders>
              <w:top w:val="nil"/>
              <w:left w:val="nil"/>
              <w:bottom w:val="single" w:color="auto" w:sz="4" w:space="0"/>
              <w:right w:val="single" w:color="auto" w:sz="4" w:space="0"/>
            </w:tcBorders>
            <w:vAlign w:val="center"/>
          </w:tcPr>
          <w:p w14:paraId="15B0C5EA">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FE4A12C">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F7B565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1.1.5.19</w:t>
            </w:r>
          </w:p>
        </w:tc>
        <w:tc>
          <w:tcPr>
            <w:tcW w:w="994" w:type="pct"/>
            <w:tcBorders>
              <w:top w:val="nil"/>
              <w:left w:val="single" w:color="auto" w:sz="4" w:space="0"/>
              <w:bottom w:val="single" w:color="auto" w:sz="4" w:space="0"/>
              <w:right w:val="single" w:color="auto" w:sz="4" w:space="0"/>
            </w:tcBorders>
            <w:vAlign w:val="center"/>
          </w:tcPr>
          <w:p w14:paraId="49AD5A3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抗肿瘤药物专项</w:t>
            </w:r>
          </w:p>
        </w:tc>
        <w:tc>
          <w:tcPr>
            <w:tcW w:w="2506" w:type="pct"/>
            <w:tcBorders>
              <w:top w:val="nil"/>
              <w:left w:val="nil"/>
              <w:bottom w:val="single" w:color="auto" w:sz="4" w:space="0"/>
              <w:right w:val="single" w:color="auto" w:sz="4" w:space="0"/>
            </w:tcBorders>
            <w:vAlign w:val="center"/>
          </w:tcPr>
          <w:p w14:paraId="2AB3B30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提供门诊及住院抗肿瘤药物使用情况的统计指标，包括抗肿瘤药物总金额、抗肿瘤药物处方数、出院患者抗肿瘤药物使用人次数等统计指标。 </w:t>
            </w:r>
          </w:p>
          <w:p w14:paraId="4AE87C4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指标： </w:t>
            </w:r>
          </w:p>
          <w:p w14:paraId="53F443A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支持按照机构/科室/医生维度查看门诊抗肿瘤药物总金额、抗肿瘤药物金额占比(%)、普通使用级抗肿瘤药物使用金额、普通使用级抗肿瘤药物使用金额占比(%)等指标。</w:t>
            </w:r>
          </w:p>
          <w:p w14:paraId="5CD4165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支持按照机构/科室/病区/医疗组维度查看住院抗肿瘤药物使用总金额、抗肿瘤药物使用总金额占比（%）、人均抗肿瘤药物费用、普通使用级抗肿瘤药物使用金额等指标。</w:t>
            </w:r>
          </w:p>
          <w:p w14:paraId="4F68E13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报表清单： </w:t>
            </w:r>
          </w:p>
          <w:p w14:paraId="0593DE6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门诊抗肿瘤药物临床使用情况汇总</w:t>
            </w:r>
          </w:p>
          <w:p w14:paraId="1A6A084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住院抗肿瘤药物临床使用情况汇总</w:t>
            </w:r>
          </w:p>
        </w:tc>
        <w:tc>
          <w:tcPr>
            <w:tcW w:w="455" w:type="pct"/>
            <w:tcBorders>
              <w:top w:val="nil"/>
              <w:left w:val="nil"/>
              <w:bottom w:val="single" w:color="auto" w:sz="4" w:space="0"/>
              <w:right w:val="single" w:color="auto" w:sz="4" w:space="0"/>
            </w:tcBorders>
            <w:vAlign w:val="center"/>
          </w:tcPr>
          <w:p w14:paraId="70CC7D02">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E1B53B9">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4738EE3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1.1.5.22</w:t>
            </w:r>
          </w:p>
        </w:tc>
        <w:tc>
          <w:tcPr>
            <w:tcW w:w="994" w:type="pct"/>
            <w:tcBorders>
              <w:top w:val="nil"/>
              <w:left w:val="single" w:color="auto" w:sz="4" w:space="0"/>
              <w:bottom w:val="single" w:color="auto" w:sz="4" w:space="0"/>
              <w:right w:val="single" w:color="auto" w:sz="4" w:space="0"/>
            </w:tcBorders>
            <w:vAlign w:val="center"/>
          </w:tcPr>
          <w:p w14:paraId="6E188FD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自定义报表</w:t>
            </w:r>
          </w:p>
        </w:tc>
        <w:tc>
          <w:tcPr>
            <w:tcW w:w="2506" w:type="pct"/>
            <w:tcBorders>
              <w:top w:val="nil"/>
              <w:left w:val="nil"/>
              <w:bottom w:val="single" w:color="auto" w:sz="4" w:space="0"/>
              <w:right w:val="single" w:color="auto" w:sz="4" w:space="0"/>
            </w:tcBorders>
            <w:vAlign w:val="center"/>
          </w:tcPr>
          <w:p w14:paraId="3F54459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支持用户选择按机构、按药品、按问题类型、按手术新增自定义报表，覆盖医院用药数据统计的所需维度；</w:t>
            </w:r>
          </w:p>
          <w:p w14:paraId="1EFD805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系统提供出院、实际、含在院三个统计维度，支持用户设定自定义报表的数据统计维度。出院维度：根据出院患者的出院科室统计用药数据；实际维度：根据出院患者的药嘱开具科室统计用药数据；含在院：根据业务发生日期的收费数据统计相关的用药数据；</w:t>
            </w:r>
          </w:p>
          <w:p w14:paraId="7E31CAC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系统提供全院、门急诊、住院三个维度，支持用户设定自定义报表的统计数据来源，覆盖医院用药数据统计的来源选择；门急诊维度：统计数据来源为门诊或急诊的患者用药数据；住院维度：当统计维度为出院及含在院时则统计数据来源是出院患者的用药数据，当统计维度为含在院则统计收费数据中来源为住院的用药数据。</w:t>
            </w:r>
          </w:p>
          <w:p w14:paraId="573CCBB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系统提供月、季、年三个报表自动生成周期，支持用户设定自定义报表的自动生成周期，还支持手动选择时间范围生成报表数据，满足医院用药数据统计的时间范围选择；</w:t>
            </w:r>
          </w:p>
          <w:p w14:paraId="526132A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支持用户预览、修改、删除、复制、移动自定义报表，并支持对自定义报表分类管理；</w:t>
            </w:r>
          </w:p>
          <w:p w14:paraId="75E2244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系统提供标准出厂指标，用户可直接选择出厂指标组合成新的自定义报表，同时系统支持用户自定义常用维度的统计指标、计算指标、手工指标：</w:t>
            </w:r>
          </w:p>
          <w:p w14:paraId="7F97E88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统计指标：支持用户个性化设定药品属性、药品分类、问题类型条件，用于筛选并统计满足条件的处方数、处方人次、出院人次、用药人次、问题发生数、处方金额、药品金额、品规数、累计品规数、品种数、累计品种数、医嘱条目数、使用量（</w:t>
            </w:r>
            <w:r>
              <w:rPr>
                <w:rFonts w:ascii="仿宋" w:hAnsi="仿宋" w:cs="宋体"/>
                <w:color w:val="000000"/>
                <w:szCs w:val="24"/>
              </w:rPr>
              <w:t>DDDS</w:t>
            </w:r>
            <w:r>
              <w:rPr>
                <w:rFonts w:hint="eastAsia" w:ascii="仿宋" w:hAnsi="仿宋" w:cs="宋体"/>
                <w:color w:val="000000"/>
                <w:szCs w:val="24"/>
              </w:rPr>
              <w:t>）；</w:t>
            </w:r>
          </w:p>
          <w:p w14:paraId="01BF75C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计算指标：支持用户选择多个相同数据来源的指标进行运算，实现个性化配置所需的计算指标；</w:t>
            </w:r>
          </w:p>
          <w:p w14:paraId="29172AB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手工指标：支持用户增加手工指标，用于展示无法统计或计算的相关内容，提供手工指标页面输入结果数据功能。</w:t>
            </w:r>
          </w:p>
          <w:p w14:paraId="78CD8D6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支持编辑调整自定义报表的格式，可设置表头、表尾、单元格合并及指标排序；</w:t>
            </w:r>
          </w:p>
        </w:tc>
        <w:tc>
          <w:tcPr>
            <w:tcW w:w="455" w:type="pct"/>
            <w:tcBorders>
              <w:top w:val="nil"/>
              <w:left w:val="nil"/>
              <w:bottom w:val="single" w:color="auto" w:sz="4" w:space="0"/>
              <w:right w:val="single" w:color="auto" w:sz="4" w:space="0"/>
            </w:tcBorders>
            <w:vAlign w:val="center"/>
          </w:tcPr>
          <w:p w14:paraId="00B5EB9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4BC4E76">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vAlign w:val="center"/>
          </w:tcPr>
          <w:p w14:paraId="5967BA9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1.1.5.10</w:t>
            </w:r>
          </w:p>
        </w:tc>
        <w:tc>
          <w:tcPr>
            <w:tcW w:w="994" w:type="pct"/>
            <w:tcBorders>
              <w:top w:val="nil"/>
              <w:left w:val="single" w:color="auto" w:sz="4" w:space="0"/>
              <w:bottom w:val="single" w:color="auto" w:sz="4" w:space="0"/>
              <w:right w:val="single" w:color="auto" w:sz="4" w:space="0"/>
            </w:tcBorders>
            <w:vAlign w:val="center"/>
          </w:tcPr>
          <w:p w14:paraId="7B6D5A9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其他功能</w:t>
            </w:r>
          </w:p>
        </w:tc>
        <w:tc>
          <w:tcPr>
            <w:tcW w:w="2506" w:type="pct"/>
            <w:tcBorders>
              <w:top w:val="nil"/>
              <w:left w:val="nil"/>
              <w:bottom w:val="single" w:color="auto" w:sz="4" w:space="0"/>
              <w:right w:val="single" w:color="auto" w:sz="4" w:space="0"/>
            </w:tcBorders>
            <w:vAlign w:val="center"/>
          </w:tcPr>
          <w:p w14:paraId="2D392DB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EE0000"/>
                <w:szCs w:val="24"/>
                <w:lang w:eastAsia="zh-CN"/>
              </w:rPr>
              <w:t xml:space="preserve">  </w:t>
            </w:r>
            <w:r>
              <w:rPr>
                <w:rFonts w:hint="eastAsia" w:ascii="仿宋" w:hAnsi="仿宋" w:cs="宋体"/>
                <w:color w:val="000000"/>
                <w:szCs w:val="24"/>
              </w:rPr>
              <w:t>支持报表按机构》科室》医生（或医疗组）的下钻展示，并支持按条件筛选报表统计结果；</w:t>
            </w:r>
          </w:p>
          <w:p w14:paraId="059CB89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支持按月、季度、年自动生成周期性报表，以确保数据稳定性，同时支持用户手动生成非周期性报表数据； </w:t>
            </w:r>
          </w:p>
          <w:p w14:paraId="6862B8F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支持在线调整报表的显示内容，包括显示哪些指标及指标显示顺序； </w:t>
            </w:r>
          </w:p>
          <w:p w14:paraId="2E5EF7C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支持具体指标统计结果的点击排序； </w:t>
            </w:r>
          </w:p>
          <w:p w14:paraId="0C55816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EE0000"/>
                <w:szCs w:val="24"/>
                <w:lang w:eastAsia="zh-CN"/>
              </w:rPr>
              <w:t xml:space="preserve">  </w:t>
            </w:r>
            <w:r>
              <w:rPr>
                <w:rFonts w:hint="eastAsia" w:ascii="仿宋" w:hAnsi="仿宋" w:cs="宋体"/>
                <w:color w:val="000000"/>
                <w:szCs w:val="24"/>
              </w:rPr>
              <w:t xml:space="preserve">支持点评数据有变化时，提醒用户重新生成报表； </w:t>
            </w:r>
          </w:p>
          <w:p w14:paraId="47518DD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支持报表导出，导出格式为excel格式； </w:t>
            </w:r>
          </w:p>
          <w:p w14:paraId="1EBBCAB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支持配置报表查看、报表生成、报表管理、报表填写的用户权限；</w:t>
            </w:r>
          </w:p>
        </w:tc>
        <w:tc>
          <w:tcPr>
            <w:tcW w:w="455" w:type="pct"/>
            <w:tcBorders>
              <w:top w:val="nil"/>
              <w:left w:val="nil"/>
              <w:bottom w:val="single" w:color="auto" w:sz="4" w:space="0"/>
              <w:right w:val="single" w:color="auto" w:sz="4" w:space="0"/>
            </w:tcBorders>
            <w:vAlign w:val="center"/>
          </w:tcPr>
          <w:p w14:paraId="255BFB16">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EDE4068">
        <w:tblPrEx>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571AEC0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 区域前置审方中心</w:t>
            </w:r>
          </w:p>
        </w:tc>
      </w:tr>
      <w:tr w14:paraId="5C5DF291">
        <w:tblPrEx>
          <w:tblCellMar>
            <w:top w:w="0" w:type="dxa"/>
            <w:left w:w="108" w:type="dxa"/>
            <w:bottom w:w="0" w:type="dxa"/>
            <w:right w:w="108" w:type="dxa"/>
          </w:tblCellMar>
        </w:tblPrEx>
        <w:tc>
          <w:tcPr>
            <w:tcW w:w="1043" w:type="pct"/>
            <w:tcBorders>
              <w:top w:val="nil"/>
              <w:left w:val="single" w:color="auto" w:sz="4" w:space="0"/>
              <w:bottom w:val="single" w:color="auto" w:sz="4" w:space="0"/>
              <w:right w:val="single" w:color="auto" w:sz="4" w:space="0"/>
            </w:tcBorders>
            <w:shd w:val="clear" w:color="000000" w:fill="FFFFFF"/>
            <w:vAlign w:val="center"/>
          </w:tcPr>
          <w:p w14:paraId="6F59AA8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w:t>
            </w:r>
          </w:p>
        </w:tc>
        <w:tc>
          <w:tcPr>
            <w:tcW w:w="994" w:type="pct"/>
            <w:tcBorders>
              <w:top w:val="nil"/>
              <w:left w:val="nil"/>
              <w:bottom w:val="single" w:color="auto" w:sz="4" w:space="0"/>
              <w:right w:val="single" w:color="auto" w:sz="4" w:space="0"/>
            </w:tcBorders>
            <w:shd w:val="clear" w:color="000000" w:fill="FFFFFF"/>
            <w:vAlign w:val="center"/>
          </w:tcPr>
          <w:p w14:paraId="5DEFC13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区域医共体审方大屏</w:t>
            </w:r>
          </w:p>
        </w:tc>
        <w:tc>
          <w:tcPr>
            <w:tcW w:w="2506" w:type="pct"/>
            <w:tcBorders>
              <w:top w:val="nil"/>
              <w:left w:val="nil"/>
              <w:bottom w:val="single" w:color="auto" w:sz="4" w:space="0"/>
              <w:right w:val="single" w:color="auto" w:sz="4" w:space="0"/>
            </w:tcBorders>
            <w:shd w:val="clear" w:color="000000" w:fill="FFFFFF"/>
            <w:vAlign w:val="center"/>
          </w:tcPr>
          <w:p w14:paraId="51D4B34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【实时数据看板】</w:t>
            </w:r>
          </w:p>
          <w:p w14:paraId="67EF53A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支持今日门诊总处方量、机审处方量、人工审核处方量实时刷新；</w:t>
            </w:r>
          </w:p>
          <w:p w14:paraId="6369473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支持审核通过、审核打回、双签处方量及住院医嘱总数、医嘱人工审核量实时展示；</w:t>
            </w:r>
          </w:p>
          <w:p w14:paraId="58DD29F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支持整体处方审核率、处方合理率、处方打回率、平均审核时长秒级更新；</w:t>
            </w:r>
          </w:p>
          <w:p w14:paraId="37A0030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【工作效率与排名】</w:t>
            </w:r>
          </w:p>
          <w:p w14:paraId="10A03D7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支持实时更新门诊/住院各科室审方任务量Top；</w:t>
            </w:r>
          </w:p>
          <w:p w14:paraId="6E63D57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支持药师个人审核量、平均审核时长、打回率实时排名；</w:t>
            </w:r>
          </w:p>
          <w:p w14:paraId="070186D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支持按机构维度展示处方总量、人工审核总量、打回总量、打回后双签量排行；</w:t>
            </w:r>
          </w:p>
          <w:p w14:paraId="609E673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【趋势与对比】</w:t>
            </w:r>
          </w:p>
          <w:p w14:paraId="37EB11B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支持近7天门诊处方审核率（人工审核/总处方）折线趋势；</w:t>
            </w:r>
          </w:p>
          <w:p w14:paraId="50132D5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支持近3个月每周处方审核合理率（合格处方/总处方）折线趋势；</w:t>
            </w:r>
          </w:p>
          <w:p w14:paraId="0ABF1B4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支持不同机构处方合理率横向柱状对比；</w:t>
            </w:r>
          </w:p>
          <w:p w14:paraId="60854C6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【问题分析】</w:t>
            </w:r>
          </w:p>
          <w:p w14:paraId="74CFEED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支持不合理原因类型占比饼图展示；</w:t>
            </w:r>
          </w:p>
          <w:p w14:paraId="6809B00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支持门诊/住院问题类型任务量排名展示；</w:t>
            </w:r>
          </w:p>
          <w:p w14:paraId="56B1D56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【干预与跟踪】</w:t>
            </w:r>
          </w:p>
          <w:p w14:paraId="7F53BAD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支持药师干预数据（干预人次、干预成功率）实时展示；</w:t>
            </w:r>
          </w:p>
          <w:p w14:paraId="4A3474D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支持门诊干预后医生处理情况统计：已修改、已删除、已双签、未处理；</w:t>
            </w:r>
          </w:p>
          <w:p w14:paraId="5973641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【地图标点轮播】</w:t>
            </w:r>
          </w:p>
          <w:p w14:paraId="3AD406E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支持地图轮播高亮标注当前数据点，定时切换【不同机构数据】</w:t>
            </w:r>
          </w:p>
          <w:p w14:paraId="731A5E8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轮播卡片同步展示机构当天处方总量、审核率、打回率、平均审核时长、不合理处方数等；</w:t>
            </w:r>
          </w:p>
        </w:tc>
        <w:tc>
          <w:tcPr>
            <w:tcW w:w="455" w:type="pct"/>
            <w:tcBorders>
              <w:top w:val="nil"/>
              <w:left w:val="nil"/>
              <w:bottom w:val="single" w:color="auto" w:sz="4" w:space="0"/>
              <w:right w:val="single" w:color="auto" w:sz="4" w:space="0"/>
            </w:tcBorders>
            <w:shd w:val="clear" w:color="000000" w:fill="FFFFFF"/>
            <w:vAlign w:val="center"/>
          </w:tcPr>
          <w:p w14:paraId="55A9563B">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61D6845">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3DC7E0A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1.1.6.2</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3802047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审方流程</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4073147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系统提供审方药师门诊审方工作平台，支持审方药师在患者缴费前完成门诊处方的实时审查；系统提供审方药师住院审方工作平台，支持审方药师在医嘱调剂前完成住院医嘱的实时审查；</w:t>
            </w:r>
          </w:p>
          <w:p w14:paraId="19E5DA8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系统按照预设的合理用药规则对处方/医嘱进行自动审查，包括过敏、禁忌症、适应症、特殊人群、配伍、相互作用、重复用药、给药途径、给药时机、给药剂量、给药频率、疗程审查等；再交由药师可选取全部或部分处方/医嘱进行人工审核；审方药师可将审核不合理的处方/医嘱打回到医生端，由医生进行双签或修改，直到处方/医嘱审核通过，进入调剂环节，实现审方药师的实时审方；</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21FD1BBA">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7020CF4">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3135CD4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1.1.6.3</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7811B93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审方任务分配</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5AFB86A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支持审方任务自动分配，并支持任务来临时自动页面消息及提示音提示；支持新任务来时，电脑右下角进行提醒，即使浏览器审核页面当前最小化，减少漏审；</w:t>
            </w:r>
          </w:p>
          <w:p w14:paraId="7E6A023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支持审方药师查看待审核处方/医嘱任务总量及分配给自己的待审处方/医嘱任务；门急诊可按科室、医生、处方号进行任务筛选；住院可按病区、医嘱类型、患者号进行任务筛选；</w:t>
            </w:r>
          </w:p>
          <w:p w14:paraId="43E31B3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EE0000"/>
                <w:szCs w:val="24"/>
                <w:lang w:eastAsia="zh-CN"/>
              </w:rPr>
              <w:t xml:space="preserve">  </w:t>
            </w:r>
            <w:r>
              <w:rPr>
                <w:rFonts w:hint="eastAsia" w:ascii="仿宋" w:hAnsi="仿宋" w:cs="宋体"/>
                <w:szCs w:val="24"/>
              </w:rPr>
              <w:t>支持传入带紧急标记的处方/医嘱、特殊给药途径/给药频率处方/医嘱、出院带药以及实时指定已批量开具医嘱的住院病区的优先审核；</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7A981246">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49300309">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64B7BA7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1.1.6.4</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777A430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处方/医嘱人工审查</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286B03F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支持审方药师根据问题的严重程度选择是否强制要求医生修改处方/医嘱；</w:t>
            </w:r>
          </w:p>
          <w:p w14:paraId="2C8313A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支持处方/医嘱打回后，当医生超过一定时间未处理时提示给药师，且可以对医生超时未处理的时间进行设置；</w:t>
            </w:r>
          </w:p>
          <w:p w14:paraId="3B951AF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支持处方/医嘱打回后，当医生对打回的处方/医嘱进行双签后，在药师界面显示双签理由并通过任务；</w:t>
            </w:r>
          </w:p>
          <w:p w14:paraId="6237A1B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支持处方/医嘱打回后，当医生跟药师沟通后，且审方药师认同医生的用药方案时，支持审方药师修改处方/医嘱的审核结果，将打回的审核结果修改为通过并支持输入通过理由；</w:t>
            </w:r>
          </w:p>
          <w:p w14:paraId="0B4491C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EE0000"/>
                <w:szCs w:val="24"/>
                <w:lang w:eastAsia="zh-CN"/>
              </w:rPr>
              <w:t xml:space="preserve">  </w:t>
            </w:r>
            <w:r>
              <w:rPr>
                <w:rFonts w:hint="eastAsia" w:ascii="仿宋" w:hAnsi="仿宋" w:cs="宋体"/>
                <w:color w:val="000000"/>
                <w:szCs w:val="24"/>
              </w:rPr>
              <w:t>支持定时对住院患者当前所有有效医嘱进行合并审查，对存在超用药疗程或因检验指标、生命体征、诊断、手术等信息发生变化，而产生新的用药问题时，提示药师关注处理。</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60982E2B">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A2110AC">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51F13AD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1.1.6.5</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2E6A803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审方方案设置</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46C6072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支持筛选需要审方药师人工审查的处方/医嘱：可按照院区、科室、病区、医生、药品、药品属性、诊断、警示信息等条件设置一个或多个审方方案，用于待审核处方/医嘱的过滤，确定待人工审核处方/医嘱任务；</w:t>
            </w:r>
          </w:p>
          <w:p w14:paraId="360DA4C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对于不符合方案设置的处方/医嘱，支持处方/医嘱自动通过审核；支持根据患者年龄、患者病情严重状态设置筛选方案；</w:t>
            </w:r>
          </w:p>
          <w:p w14:paraId="4477744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支持在审方方案中设置药师工作日和具体工作时间，对于非药师工作时间的处方/医嘱，可自动通过审核，不影响处方/医嘱的执行；</w:t>
            </w:r>
          </w:p>
          <w:p w14:paraId="35B4D00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支持设置不同药师排班管理，以及对应工作时间提醒；</w:t>
            </w:r>
          </w:p>
          <w:p w14:paraId="749CE57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EE0000"/>
                <w:szCs w:val="24"/>
                <w:lang w:eastAsia="zh-CN"/>
              </w:rPr>
              <w:t xml:space="preserve">  </w:t>
            </w:r>
            <w:r>
              <w:rPr>
                <w:rFonts w:hint="eastAsia" w:ascii="仿宋" w:hAnsi="仿宋" w:cs="宋体"/>
                <w:color w:val="000000"/>
                <w:szCs w:val="24"/>
              </w:rPr>
              <w:t>支持设定等级的处方/医嘱自动驳回要求医生双签；</w:t>
            </w:r>
          </w:p>
          <w:p w14:paraId="421C196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支持设置需要审核医嘱但没有可审核药师时设置是否要求双签等；</w:t>
            </w:r>
          </w:p>
          <w:p w14:paraId="4B06E14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门急诊支持可选择：按单张处方按患者合并当日所有处方或跨天跨就诊、以及对相同基础数据的不同院区，跨机构合并患者所有处方审查医生用药问题；支持历史处方合并时，根据历史处方疗程计算是否参与审查；</w:t>
            </w:r>
          </w:p>
          <w:p w14:paraId="61FD335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住院支持按患者审查或按组拆分审查，按患者审查即患者一次传入的医嘱为一个审查任务，按组拆分审查即患者一次传入的医嘱按组号拆分为多个审查任务，便于医院根据实际需要合理安排审方工作；</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49A85711">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ADD7527">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41898D1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1.1.6.6</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54F6C02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特殊审方方案设置</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1936DB0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支持设置只审核静配医嘱；支持医院自定义特殊管控药品审方方案，例如重点监控药品、精麻药品等，必须经过人工审核才允许执行，不受超时时间限制；</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687E9315">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szCs w:val="24"/>
                <w:lang w:eastAsia="zh-CN"/>
              </w:rPr>
              <w:t xml:space="preserve">  </w:t>
            </w:r>
          </w:p>
        </w:tc>
      </w:tr>
      <w:tr w14:paraId="0A3AF872">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7CE441E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1.1.6.7</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5BC1ABA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药师权限设置</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2FE363C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支持设置药师的审方权限，可按照院区、科室、病区、处方类型、诊断、药品、属性等条件设置药师的审方权限，系统可根据药师权限将待审核处方/医嘱任务分配给有权限的审方药师；</w:t>
            </w:r>
          </w:p>
          <w:p w14:paraId="417702D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支持单独设置外配处方、自备药、互联网医院的审方方案和药师权限，支持指定专人审核外配药品支持人工审核时排除紧急医嘱，使其尽快机审后直接通过；</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0DB595A8">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7B21128B">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1359D98D">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1.1.6.8</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78FBA92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批量审核</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6995EA9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支持审方药师选择多张处方/医嘱，批量审核通过；</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37560C42">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5B9164C6">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3ED1652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1.1.6.9</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0221FFA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二次审方</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6D5980E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 xml:space="preserve">支持在药房发药或后续执行时，根据返回的重要警示信息，对自动通过或超时通过的医嘱，进行再次审核； </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1DB2486E">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2A116EF">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73D3DE56">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1.1.6.10</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2205845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审方备注</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48B334F4">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支持在处方/医嘱审核任务上添加备注信息用于审方过程的记录，如“跟医生沟通需要审核通过”等；</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1E0360B1">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6F4043A">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78F97DE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1.1.6.11</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165EFD4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处方/医嘱收藏</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552763C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支持处方/医嘱的收藏，并可设置收藏分类，用于经典案例回顾等；</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632BEB70">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C3F3431">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7A52E50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1.1.6.12</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592A4EE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便捷操作及常用语</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4723029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支持审方药师在审核处方/医嘱时，对系统根据处方/医嘱跑出的警示信息内容进行确认，并支持人工输入审核意见及用药建议；人工输入时支持一键复制药品名称；</w:t>
            </w:r>
          </w:p>
          <w:p w14:paraId="2528081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对于人工输入的内容，支持药师自定义审核意见模板，便于药师在审核时进行选择及快速回复；</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0BCA5583">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05E1543B">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4FC21F1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1.1.6.13</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652F360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个性化审方设置</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5F389CB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支持待审处方/医嘱超过规定时间，自动超时通过，并支持用户自定义超时时间；</w:t>
            </w:r>
          </w:p>
          <w:p w14:paraId="19E1AB3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支持页面展示审方倒计时，并支持设置是否突出展示；</w:t>
            </w:r>
          </w:p>
          <w:p w14:paraId="0173464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支持每个药师自定义审方提示音；</w:t>
            </w:r>
          </w:p>
          <w:p w14:paraId="3E5C336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提示音模式支持设置减少打扰；</w:t>
            </w:r>
          </w:p>
          <w:p w14:paraId="722D3BA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支持设置药师最大接收任务数；</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4C5577CA">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2C509988">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306918BA">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1.1.6.14</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4AE66160">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审方质量评价</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0332767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支持根据日期、来源、审方药师、药品名称、科室、机构等条件，全部或随机抽取已审核处方/医嘱供药学管理人员进行回顾性分析评价，并可根据评价结果生成评价报表；</w:t>
            </w:r>
          </w:p>
          <w:p w14:paraId="41F898B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支持审方药师登入系统查看本人的审方评价结果;</w:t>
            </w:r>
          </w:p>
          <w:p w14:paraId="79076F4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支持平均或指定数量分配给指定专家进行审方工作评价，并根据工作进度重新分配剩余任务；支持区域中心集中进行审方评价;</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2D443276">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38151283">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018A8895">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1.1.6.16</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3AA6777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统计分析</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1F423168">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从机构、科室、医生、处方类型等角度统计处方/医嘱数量及审查概况，包括自动通过处方数/医嘱组数、药师打回、药师通过处方数/医嘱组数等指标；支持机构、科室下钻展示统计数据；</w:t>
            </w:r>
          </w:p>
          <w:p w14:paraId="496E168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支持按门诊处方类型、住院药品分类维度统计审核情况；</w:t>
            </w:r>
          </w:p>
          <w:p w14:paraId="1F643322">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统计各审方药师审核的处方数/医嘱组数、审核通过、审核打回的处方数/医嘱组数等指标；支持静配医嘱审核情况专项统计；</w:t>
            </w:r>
          </w:p>
          <w:p w14:paraId="620A6841">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支持审核情况统计中，按处方人次数维度提供数据；</w:t>
            </w:r>
          </w:p>
          <w:p w14:paraId="444E7BB3">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从机构、科室、医生、药师等维度统计处方/医嘱打回后医生对打回处方/医嘱的处理情况，包括医生双签、医生修改处方数/医嘱组数等指标；</w:t>
            </w:r>
          </w:p>
          <w:p w14:paraId="11EC660F">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从机构、科室、医生、药师等角度统计药师审方的效率及医生处理的效率，包括药师审核耗时、医生处理耗时等指标；</w:t>
            </w:r>
          </w:p>
          <w:p w14:paraId="351413B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统计药师审核的处方/医嘱中各问题类型的发生的情况，包括打回处方数/医嘱组数、医生双签、医生修改处方数/医嘱组数、医嘱条目数等指标；支持指定查看和导出药师排班期间审核情况相关统计；</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5E45D54F">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r w14:paraId="6A78FF84">
        <w:tblPrEx>
          <w:tblCellMar>
            <w:top w:w="0" w:type="dxa"/>
            <w:left w:w="108" w:type="dxa"/>
            <w:bottom w:w="0" w:type="dxa"/>
            <w:right w:w="108" w:type="dxa"/>
          </w:tblCellMar>
        </w:tblPrEx>
        <w:tc>
          <w:tcPr>
            <w:tcW w:w="1043" w:type="pct"/>
            <w:tcBorders>
              <w:top w:val="single" w:color="auto" w:sz="4" w:space="0"/>
              <w:left w:val="single" w:color="auto" w:sz="4" w:space="0"/>
              <w:bottom w:val="single" w:color="auto" w:sz="4" w:space="0"/>
              <w:right w:val="single" w:color="auto" w:sz="4" w:space="0"/>
            </w:tcBorders>
            <w:shd w:val="clear" w:color="000000" w:fill="FFFFFF"/>
            <w:vAlign w:val="center"/>
          </w:tcPr>
          <w:p w14:paraId="1B740B20">
            <w:pPr>
              <w:widowControl/>
              <w:spacing w:line="240" w:lineRule="auto"/>
              <w:ind w:firstLine="0" w:firstLineChars="0"/>
              <w:jc w:val="left"/>
              <w:rPr>
                <w:rFonts w:hint="eastAsia" w:ascii="仿宋" w:hAnsi="仿宋" w:cs="宋体"/>
                <w:color w:val="000000"/>
                <w:szCs w:val="24"/>
              </w:rPr>
            </w:pPr>
            <w:r>
              <w:rPr>
                <w:rFonts w:ascii="仿宋" w:hAnsi="仿宋" w:cs="宋体"/>
                <w:color w:val="000000"/>
                <w:szCs w:val="24"/>
              </w:rPr>
              <w:t>1.1.</w:t>
            </w:r>
            <w:r>
              <w:rPr>
                <w:rFonts w:hint="eastAsia" w:ascii="仿宋" w:hAnsi="仿宋" w:cs="宋体"/>
                <w:color w:val="000000"/>
                <w:szCs w:val="24"/>
              </w:rPr>
              <w:t>6</w:t>
            </w:r>
            <w:r>
              <w:rPr>
                <w:rFonts w:ascii="仿宋" w:hAnsi="仿宋" w:cs="宋体"/>
                <w:color w:val="000000"/>
                <w:szCs w:val="24"/>
              </w:rPr>
              <w:t>.1</w:t>
            </w:r>
            <w:r>
              <w:rPr>
                <w:rFonts w:hint="eastAsia" w:ascii="仿宋" w:hAnsi="仿宋" w:cs="宋体"/>
                <w:color w:val="000000"/>
                <w:szCs w:val="24"/>
              </w:rPr>
              <w:t>7</w:t>
            </w:r>
          </w:p>
        </w:tc>
        <w:tc>
          <w:tcPr>
            <w:tcW w:w="994" w:type="pct"/>
            <w:tcBorders>
              <w:top w:val="single" w:color="auto" w:sz="4" w:space="0"/>
              <w:left w:val="nil"/>
              <w:bottom w:val="single" w:color="auto" w:sz="4" w:space="0"/>
              <w:right w:val="single" w:color="auto" w:sz="4" w:space="0"/>
            </w:tcBorders>
            <w:shd w:val="clear" w:color="000000" w:fill="FFFFFF"/>
            <w:vAlign w:val="center"/>
          </w:tcPr>
          <w:p w14:paraId="4DDB94C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审核结果查看</w:t>
            </w:r>
          </w:p>
        </w:tc>
        <w:tc>
          <w:tcPr>
            <w:tcW w:w="2506" w:type="pct"/>
            <w:tcBorders>
              <w:top w:val="single" w:color="auto" w:sz="4" w:space="0"/>
              <w:left w:val="nil"/>
              <w:bottom w:val="single" w:color="auto" w:sz="4" w:space="0"/>
              <w:right w:val="single" w:color="auto" w:sz="4" w:space="0"/>
            </w:tcBorders>
            <w:shd w:val="clear" w:color="000000" w:fill="FFFFFF"/>
            <w:vAlign w:val="center"/>
          </w:tcPr>
          <w:p w14:paraId="7BE875EE">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支持查看进入审方系统的全部处方或医嘱，包括人工审核通过及打回的处方/医嘱、系统自动通过、超时通过的处方/医嘱；</w:t>
            </w:r>
          </w:p>
          <w:p w14:paraId="20011629">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对超时通过的医嘱/处方，支持记录当时应在岗值班药师；</w:t>
            </w:r>
          </w:p>
          <w:p w14:paraId="64BBEF8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支持处方/医嘱审核历史的查看和导出，包括审方药师审核意见及医生处理结果；</w:t>
            </w:r>
          </w:p>
          <w:p w14:paraId="18E1A0BC">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支持按日期、科室、警示类型、药品分类、药品名称、审方药师、审核状态、处方号、患者号、给药途径、给药频率、给药剂量、药品属性、处方来源、处方类别、病案号病历号等条件筛选处方/医嘱；</w:t>
            </w:r>
          </w:p>
          <w:p w14:paraId="22DFFBBB">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支持药师已收藏案例的筛选查看；</w:t>
            </w:r>
          </w:p>
          <w:p w14:paraId="05C8E797">
            <w:pPr>
              <w:widowControl/>
              <w:spacing w:line="240" w:lineRule="auto"/>
              <w:ind w:firstLine="0" w:firstLineChars="0"/>
              <w:jc w:val="left"/>
              <w:rPr>
                <w:rFonts w:hint="eastAsia" w:ascii="仿宋" w:hAnsi="仿宋" w:cs="宋体"/>
                <w:color w:val="000000"/>
                <w:szCs w:val="24"/>
              </w:rPr>
            </w:pPr>
            <w:r>
              <w:rPr>
                <w:rFonts w:hint="eastAsia" w:ascii="仿宋" w:hAnsi="仿宋" w:cs="宋体"/>
                <w:color w:val="000000"/>
                <w:szCs w:val="24"/>
              </w:rPr>
              <w:t>支持用户自定义设置列表页面展示字段；</w:t>
            </w:r>
          </w:p>
        </w:tc>
        <w:tc>
          <w:tcPr>
            <w:tcW w:w="455" w:type="pct"/>
            <w:tcBorders>
              <w:top w:val="single" w:color="auto" w:sz="4" w:space="0"/>
              <w:left w:val="nil"/>
              <w:bottom w:val="single" w:color="auto" w:sz="4" w:space="0"/>
              <w:right w:val="single" w:color="auto" w:sz="4" w:space="0"/>
            </w:tcBorders>
            <w:shd w:val="clear" w:color="000000" w:fill="FFFFFF"/>
            <w:vAlign w:val="center"/>
          </w:tcPr>
          <w:p w14:paraId="0769373E">
            <w:pPr>
              <w:widowControl/>
              <w:spacing w:line="240" w:lineRule="auto"/>
              <w:ind w:firstLine="0" w:firstLineChars="0"/>
              <w:jc w:val="center"/>
              <w:rPr>
                <w:rFonts w:hint="eastAsia" w:ascii="仿宋" w:hAnsi="仿宋" w:eastAsia="仿宋" w:cs="宋体"/>
                <w:color w:val="000000"/>
                <w:szCs w:val="24"/>
                <w:lang w:eastAsia="zh-CN"/>
              </w:rPr>
            </w:pPr>
            <w:r>
              <w:rPr>
                <w:rFonts w:hint="eastAsia" w:ascii="仿宋" w:hAnsi="仿宋" w:cs="宋体"/>
                <w:color w:val="000000"/>
                <w:szCs w:val="24"/>
                <w:lang w:eastAsia="zh-CN"/>
              </w:rPr>
              <w:t xml:space="preserve"> </w:t>
            </w:r>
          </w:p>
        </w:tc>
      </w:tr>
    </w:tbl>
    <w:p w14:paraId="5E6E6A55">
      <w:pPr>
        <w:ind w:firstLine="0" w:firstLineChars="0"/>
        <w:jc w:val="left"/>
        <w:rPr>
          <w:rFonts w:hint="eastAsia" w:ascii="仿宋" w:hAnsi="仿宋"/>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1400" w:footer="1400" w:gutter="0"/>
      <w:pgBorders>
        <w:top w:val="none" w:sz="0" w:space="0"/>
        <w:left w:val="none" w:sz="0" w:space="0"/>
        <w:bottom w:val="none" w:sz="0" w:space="0"/>
        <w:right w:val="none" w:sz="0" w:space="0"/>
      </w:pgBorders>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72AFA">
    <w:pPr>
      <w:pStyle w:val="17"/>
      <w:ind w:firstLine="0" w:firstLineChars="0"/>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75B3">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7E34">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78C2A">
    <w:pPr>
      <w:pStyle w:val="18"/>
      <w:pBdr>
        <w:bottom w:val="none" w:color="auto" w:sz="0" w:space="0"/>
      </w:pBdr>
      <w:ind w:firstLine="0" w:firstLineChars="0"/>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5B03">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79DD">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9516C"/>
    <w:multiLevelType w:val="multilevel"/>
    <w:tmpl w:val="4F09516C"/>
    <w:lvl w:ilvl="0" w:tentative="0">
      <w:start w:val="1"/>
      <w:numFmt w:val="decimal"/>
      <w:pStyle w:val="3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283308"/>
    <w:multiLevelType w:val="multilevel"/>
    <w:tmpl w:val="60283308"/>
    <w:lvl w:ilvl="0" w:tentative="0">
      <w:start w:val="1"/>
      <w:numFmt w:val="bullet"/>
      <w:pStyle w:val="34"/>
      <w:lvlText w:val=""/>
      <w:lvlJc w:val="left"/>
      <w:pPr>
        <w:tabs>
          <w:tab w:val="left" w:pos="425"/>
        </w:tabs>
        <w:ind w:left="425" w:hanging="425"/>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99F12E0"/>
    <w:multiLevelType w:val="multilevel"/>
    <w:tmpl w:val="799F12E0"/>
    <w:lvl w:ilvl="0" w:tentative="0">
      <w:start w:val="1"/>
      <w:numFmt w:val="chineseCountingThousand"/>
      <w:pStyle w:val="2"/>
      <w:suff w:val="space"/>
      <w:lvlText w:val="%1、"/>
      <w:lvlJc w:val="left"/>
      <w:pPr>
        <w:ind w:left="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0" w:firstLine="0"/>
      </w:pPr>
      <w:rPr>
        <w:rFonts w:hint="eastAsia"/>
      </w:rPr>
    </w:lvl>
    <w:lvl w:ilvl="5" w:tentative="0">
      <w:start w:val="1"/>
      <w:numFmt w:val="decimal"/>
      <w:pStyle w:val="8"/>
      <w:isLgl/>
      <w:suff w:val="space"/>
      <w:lvlText w:val="%1.%2.%3.%4.%5.%6"/>
      <w:lvlJc w:val="left"/>
      <w:pPr>
        <w:ind w:left="0" w:firstLine="0"/>
      </w:pPr>
      <w:rPr>
        <w:rFonts w:hint="eastAsia"/>
      </w:rPr>
    </w:lvl>
    <w:lvl w:ilvl="6" w:tentative="0">
      <w:start w:val="1"/>
      <w:numFmt w:val="decimal"/>
      <w:pStyle w:val="9"/>
      <w:isLgl/>
      <w:suff w:val="space"/>
      <w:lvlText w:val="%1.%2.%3.%4.%5.%6.%7"/>
      <w:lvlJc w:val="left"/>
      <w:pPr>
        <w:ind w:left="0" w:firstLine="0"/>
      </w:pPr>
      <w:rPr>
        <w:rFonts w:hint="eastAsia"/>
      </w:rPr>
    </w:lvl>
    <w:lvl w:ilvl="7" w:tentative="0">
      <w:start w:val="1"/>
      <w:numFmt w:val="decimal"/>
      <w:pStyle w:val="10"/>
      <w:isLgl/>
      <w:suff w:val="space"/>
      <w:lvlText w:val="%1.%2.%3.%4.%5.%6.%7.%8"/>
      <w:lvlJc w:val="left"/>
      <w:pPr>
        <w:ind w:left="0" w:firstLine="0"/>
      </w:pPr>
      <w:rPr>
        <w:rFonts w:hint="eastAsia"/>
      </w:rPr>
    </w:lvl>
    <w:lvl w:ilvl="8" w:tentative="0">
      <w:start w:val="1"/>
      <w:numFmt w:val="decimal"/>
      <w:pStyle w:val="11"/>
      <w:isLgl/>
      <w:suff w:val="space"/>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FF"/>
    <w:rsid w:val="00001AB2"/>
    <w:rsid w:val="00001DB2"/>
    <w:rsid w:val="0000522C"/>
    <w:rsid w:val="00012649"/>
    <w:rsid w:val="00017A9B"/>
    <w:rsid w:val="000205A4"/>
    <w:rsid w:val="00043632"/>
    <w:rsid w:val="000542A1"/>
    <w:rsid w:val="00054886"/>
    <w:rsid w:val="00071AC5"/>
    <w:rsid w:val="00075995"/>
    <w:rsid w:val="00087BCE"/>
    <w:rsid w:val="000C4003"/>
    <w:rsid w:val="000D7BF5"/>
    <w:rsid w:val="000E4B86"/>
    <w:rsid w:val="000E5902"/>
    <w:rsid w:val="000E7909"/>
    <w:rsid w:val="000F32AB"/>
    <w:rsid w:val="000F4191"/>
    <w:rsid w:val="00111715"/>
    <w:rsid w:val="00135184"/>
    <w:rsid w:val="00135CBB"/>
    <w:rsid w:val="00147204"/>
    <w:rsid w:val="001551E3"/>
    <w:rsid w:val="001568CC"/>
    <w:rsid w:val="00157782"/>
    <w:rsid w:val="0016084F"/>
    <w:rsid w:val="00160C0D"/>
    <w:rsid w:val="00186275"/>
    <w:rsid w:val="001879A0"/>
    <w:rsid w:val="0019417F"/>
    <w:rsid w:val="00196611"/>
    <w:rsid w:val="001A20F1"/>
    <w:rsid w:val="001B0CA2"/>
    <w:rsid w:val="001C6B30"/>
    <w:rsid w:val="001E227A"/>
    <w:rsid w:val="001E45AD"/>
    <w:rsid w:val="001E6F14"/>
    <w:rsid w:val="001F1B8D"/>
    <w:rsid w:val="001F5D96"/>
    <w:rsid w:val="00204FDF"/>
    <w:rsid w:val="00212EEA"/>
    <w:rsid w:val="00222502"/>
    <w:rsid w:val="00224666"/>
    <w:rsid w:val="002337B3"/>
    <w:rsid w:val="002343F6"/>
    <w:rsid w:val="0024626F"/>
    <w:rsid w:val="00257290"/>
    <w:rsid w:val="00261C87"/>
    <w:rsid w:val="0027505A"/>
    <w:rsid w:val="00295DC1"/>
    <w:rsid w:val="002A42C9"/>
    <w:rsid w:val="002D1037"/>
    <w:rsid w:val="002D3CFF"/>
    <w:rsid w:val="002D6D05"/>
    <w:rsid w:val="002E46FC"/>
    <w:rsid w:val="002E60CE"/>
    <w:rsid w:val="002F03D4"/>
    <w:rsid w:val="0030098E"/>
    <w:rsid w:val="00301789"/>
    <w:rsid w:val="00303134"/>
    <w:rsid w:val="003075AA"/>
    <w:rsid w:val="00310BD6"/>
    <w:rsid w:val="00312B79"/>
    <w:rsid w:val="00320745"/>
    <w:rsid w:val="003233B1"/>
    <w:rsid w:val="00323DA9"/>
    <w:rsid w:val="003247AA"/>
    <w:rsid w:val="00334D49"/>
    <w:rsid w:val="003435F7"/>
    <w:rsid w:val="0035716B"/>
    <w:rsid w:val="00361514"/>
    <w:rsid w:val="003638C9"/>
    <w:rsid w:val="00367C5A"/>
    <w:rsid w:val="00373301"/>
    <w:rsid w:val="00385697"/>
    <w:rsid w:val="003960D7"/>
    <w:rsid w:val="00397E38"/>
    <w:rsid w:val="003A281B"/>
    <w:rsid w:val="003A363D"/>
    <w:rsid w:val="003A7DB3"/>
    <w:rsid w:val="003C0399"/>
    <w:rsid w:val="003C311F"/>
    <w:rsid w:val="003C472F"/>
    <w:rsid w:val="003C4C1E"/>
    <w:rsid w:val="003D09DF"/>
    <w:rsid w:val="003D16DD"/>
    <w:rsid w:val="003F2B33"/>
    <w:rsid w:val="003F5E46"/>
    <w:rsid w:val="003F61C3"/>
    <w:rsid w:val="004008DF"/>
    <w:rsid w:val="004017E1"/>
    <w:rsid w:val="00404CD8"/>
    <w:rsid w:val="00411323"/>
    <w:rsid w:val="004215C5"/>
    <w:rsid w:val="004227AA"/>
    <w:rsid w:val="00424C5D"/>
    <w:rsid w:val="004366A4"/>
    <w:rsid w:val="0044326C"/>
    <w:rsid w:val="00457A0B"/>
    <w:rsid w:val="00482DB2"/>
    <w:rsid w:val="00491C58"/>
    <w:rsid w:val="004958CB"/>
    <w:rsid w:val="004B0EFB"/>
    <w:rsid w:val="004B1588"/>
    <w:rsid w:val="004C727A"/>
    <w:rsid w:val="004D0EBA"/>
    <w:rsid w:val="004D622A"/>
    <w:rsid w:val="004E1B1E"/>
    <w:rsid w:val="00502229"/>
    <w:rsid w:val="00504872"/>
    <w:rsid w:val="00510767"/>
    <w:rsid w:val="00516B93"/>
    <w:rsid w:val="0052395C"/>
    <w:rsid w:val="00526C1F"/>
    <w:rsid w:val="00550376"/>
    <w:rsid w:val="005516A9"/>
    <w:rsid w:val="00592C5F"/>
    <w:rsid w:val="005A0D08"/>
    <w:rsid w:val="005A285D"/>
    <w:rsid w:val="005C2E15"/>
    <w:rsid w:val="005D16F5"/>
    <w:rsid w:val="005E0346"/>
    <w:rsid w:val="005E24B4"/>
    <w:rsid w:val="005F2EEE"/>
    <w:rsid w:val="005F6CB6"/>
    <w:rsid w:val="00616860"/>
    <w:rsid w:val="006206A7"/>
    <w:rsid w:val="006220D1"/>
    <w:rsid w:val="00622374"/>
    <w:rsid w:val="006369FC"/>
    <w:rsid w:val="00637DCC"/>
    <w:rsid w:val="0064063B"/>
    <w:rsid w:val="00642407"/>
    <w:rsid w:val="00654EE4"/>
    <w:rsid w:val="006564DD"/>
    <w:rsid w:val="00666CBE"/>
    <w:rsid w:val="00666E82"/>
    <w:rsid w:val="00667EEA"/>
    <w:rsid w:val="00694D2B"/>
    <w:rsid w:val="006A13E7"/>
    <w:rsid w:val="006B0802"/>
    <w:rsid w:val="006B0C7A"/>
    <w:rsid w:val="006B58A0"/>
    <w:rsid w:val="006C5797"/>
    <w:rsid w:val="006E55C9"/>
    <w:rsid w:val="006F0798"/>
    <w:rsid w:val="00704086"/>
    <w:rsid w:val="00712156"/>
    <w:rsid w:val="007229A2"/>
    <w:rsid w:val="00724E52"/>
    <w:rsid w:val="007408D6"/>
    <w:rsid w:val="007448C6"/>
    <w:rsid w:val="00760B2A"/>
    <w:rsid w:val="00776C29"/>
    <w:rsid w:val="007975F1"/>
    <w:rsid w:val="00797A39"/>
    <w:rsid w:val="007A62DE"/>
    <w:rsid w:val="007B0DA3"/>
    <w:rsid w:val="007C1B48"/>
    <w:rsid w:val="007D1F09"/>
    <w:rsid w:val="007E54E7"/>
    <w:rsid w:val="007F1939"/>
    <w:rsid w:val="008107D6"/>
    <w:rsid w:val="00824E30"/>
    <w:rsid w:val="00826E99"/>
    <w:rsid w:val="0083106F"/>
    <w:rsid w:val="00835EB1"/>
    <w:rsid w:val="00842E4E"/>
    <w:rsid w:val="00843314"/>
    <w:rsid w:val="00844A3C"/>
    <w:rsid w:val="0085112D"/>
    <w:rsid w:val="00860DCA"/>
    <w:rsid w:val="0087196F"/>
    <w:rsid w:val="00872DFB"/>
    <w:rsid w:val="008B03A3"/>
    <w:rsid w:val="008B6201"/>
    <w:rsid w:val="008C755E"/>
    <w:rsid w:val="008D4049"/>
    <w:rsid w:val="008E501F"/>
    <w:rsid w:val="00910D1C"/>
    <w:rsid w:val="009130A8"/>
    <w:rsid w:val="00913B9A"/>
    <w:rsid w:val="00916064"/>
    <w:rsid w:val="00921C41"/>
    <w:rsid w:val="00925371"/>
    <w:rsid w:val="00931D97"/>
    <w:rsid w:val="00940113"/>
    <w:rsid w:val="00946B45"/>
    <w:rsid w:val="009474B0"/>
    <w:rsid w:val="00953D46"/>
    <w:rsid w:val="0095449E"/>
    <w:rsid w:val="0095476B"/>
    <w:rsid w:val="009570E2"/>
    <w:rsid w:val="00961DD6"/>
    <w:rsid w:val="00995DFD"/>
    <w:rsid w:val="0099762D"/>
    <w:rsid w:val="009B349F"/>
    <w:rsid w:val="009D1238"/>
    <w:rsid w:val="009D42BA"/>
    <w:rsid w:val="00A21325"/>
    <w:rsid w:val="00A24E9A"/>
    <w:rsid w:val="00A26535"/>
    <w:rsid w:val="00A375A9"/>
    <w:rsid w:val="00A66180"/>
    <w:rsid w:val="00A75FBE"/>
    <w:rsid w:val="00A828C9"/>
    <w:rsid w:val="00A85022"/>
    <w:rsid w:val="00AA0F70"/>
    <w:rsid w:val="00AA5071"/>
    <w:rsid w:val="00AB2E23"/>
    <w:rsid w:val="00AC4FB6"/>
    <w:rsid w:val="00AC701D"/>
    <w:rsid w:val="00AD5860"/>
    <w:rsid w:val="00AE01B0"/>
    <w:rsid w:val="00B137CD"/>
    <w:rsid w:val="00B14C5F"/>
    <w:rsid w:val="00B25E90"/>
    <w:rsid w:val="00B36A6D"/>
    <w:rsid w:val="00B46BA6"/>
    <w:rsid w:val="00B6243E"/>
    <w:rsid w:val="00B7051A"/>
    <w:rsid w:val="00B7082C"/>
    <w:rsid w:val="00B7329D"/>
    <w:rsid w:val="00B74363"/>
    <w:rsid w:val="00B804B6"/>
    <w:rsid w:val="00B824F2"/>
    <w:rsid w:val="00B85397"/>
    <w:rsid w:val="00B85422"/>
    <w:rsid w:val="00B90AB1"/>
    <w:rsid w:val="00BA1747"/>
    <w:rsid w:val="00BA1784"/>
    <w:rsid w:val="00BA283C"/>
    <w:rsid w:val="00BC19A5"/>
    <w:rsid w:val="00BC40F7"/>
    <w:rsid w:val="00BD0120"/>
    <w:rsid w:val="00BD20DE"/>
    <w:rsid w:val="00BD2E15"/>
    <w:rsid w:val="00BD5AF1"/>
    <w:rsid w:val="00BE6D3C"/>
    <w:rsid w:val="00BF694C"/>
    <w:rsid w:val="00BF79C5"/>
    <w:rsid w:val="00C03B93"/>
    <w:rsid w:val="00C1149D"/>
    <w:rsid w:val="00C21B0B"/>
    <w:rsid w:val="00C272A7"/>
    <w:rsid w:val="00C30604"/>
    <w:rsid w:val="00C52940"/>
    <w:rsid w:val="00C55A8C"/>
    <w:rsid w:val="00C55FB8"/>
    <w:rsid w:val="00C67699"/>
    <w:rsid w:val="00C7341A"/>
    <w:rsid w:val="00C75C5D"/>
    <w:rsid w:val="00C8076C"/>
    <w:rsid w:val="00C87F4E"/>
    <w:rsid w:val="00CA33C2"/>
    <w:rsid w:val="00CC16FF"/>
    <w:rsid w:val="00CC2F09"/>
    <w:rsid w:val="00CD1C5A"/>
    <w:rsid w:val="00CD5465"/>
    <w:rsid w:val="00CE7E29"/>
    <w:rsid w:val="00CF21AE"/>
    <w:rsid w:val="00D01647"/>
    <w:rsid w:val="00D04350"/>
    <w:rsid w:val="00D05179"/>
    <w:rsid w:val="00D20765"/>
    <w:rsid w:val="00D247E0"/>
    <w:rsid w:val="00D56387"/>
    <w:rsid w:val="00D63E27"/>
    <w:rsid w:val="00D65BAA"/>
    <w:rsid w:val="00D665AC"/>
    <w:rsid w:val="00D66DC8"/>
    <w:rsid w:val="00D75567"/>
    <w:rsid w:val="00D921C0"/>
    <w:rsid w:val="00D95916"/>
    <w:rsid w:val="00DA345E"/>
    <w:rsid w:val="00DA4725"/>
    <w:rsid w:val="00DB6AED"/>
    <w:rsid w:val="00DC0F8C"/>
    <w:rsid w:val="00DD2398"/>
    <w:rsid w:val="00DD388C"/>
    <w:rsid w:val="00DD4C08"/>
    <w:rsid w:val="00DF3958"/>
    <w:rsid w:val="00DF6C0F"/>
    <w:rsid w:val="00DF7F47"/>
    <w:rsid w:val="00E2380D"/>
    <w:rsid w:val="00E30199"/>
    <w:rsid w:val="00E3275C"/>
    <w:rsid w:val="00E327E2"/>
    <w:rsid w:val="00E6532D"/>
    <w:rsid w:val="00E67640"/>
    <w:rsid w:val="00E83B3D"/>
    <w:rsid w:val="00E868EA"/>
    <w:rsid w:val="00E91811"/>
    <w:rsid w:val="00E95F83"/>
    <w:rsid w:val="00EA55C5"/>
    <w:rsid w:val="00EC4D9B"/>
    <w:rsid w:val="00EE20F9"/>
    <w:rsid w:val="00F00DAD"/>
    <w:rsid w:val="00F01361"/>
    <w:rsid w:val="00F0559F"/>
    <w:rsid w:val="00F22CDA"/>
    <w:rsid w:val="00F31BD1"/>
    <w:rsid w:val="00F31E6B"/>
    <w:rsid w:val="00F33DA3"/>
    <w:rsid w:val="00F34053"/>
    <w:rsid w:val="00F34DC6"/>
    <w:rsid w:val="00F36BAB"/>
    <w:rsid w:val="00F61982"/>
    <w:rsid w:val="00F672E0"/>
    <w:rsid w:val="00F815F7"/>
    <w:rsid w:val="00FA5558"/>
    <w:rsid w:val="00FC2582"/>
    <w:rsid w:val="00FC2762"/>
    <w:rsid w:val="00FC2C2A"/>
    <w:rsid w:val="00FC40CC"/>
    <w:rsid w:val="00FD5FA4"/>
    <w:rsid w:val="00FE512F"/>
    <w:rsid w:val="08C416C3"/>
    <w:rsid w:val="0B705B32"/>
    <w:rsid w:val="103E3645"/>
    <w:rsid w:val="144B5272"/>
    <w:rsid w:val="15F64E85"/>
    <w:rsid w:val="17A36655"/>
    <w:rsid w:val="1DDE6490"/>
    <w:rsid w:val="1DF11C2D"/>
    <w:rsid w:val="1E154A8B"/>
    <w:rsid w:val="28D9041B"/>
    <w:rsid w:val="29BA5EE7"/>
    <w:rsid w:val="2F745341"/>
    <w:rsid w:val="30C71808"/>
    <w:rsid w:val="33287057"/>
    <w:rsid w:val="34106DFB"/>
    <w:rsid w:val="40323199"/>
    <w:rsid w:val="42D4417F"/>
    <w:rsid w:val="44162552"/>
    <w:rsid w:val="4CB22FB3"/>
    <w:rsid w:val="505D4E5C"/>
    <w:rsid w:val="50874A7C"/>
    <w:rsid w:val="53CA68D8"/>
    <w:rsid w:val="53CC31CE"/>
    <w:rsid w:val="58216C5D"/>
    <w:rsid w:val="59D52770"/>
    <w:rsid w:val="63844E4C"/>
    <w:rsid w:val="63EE37FF"/>
    <w:rsid w:val="652E32C1"/>
    <w:rsid w:val="6A14313F"/>
    <w:rsid w:val="6F2A116E"/>
    <w:rsid w:val="6FF43359"/>
    <w:rsid w:val="74512A4C"/>
    <w:rsid w:val="78A0407E"/>
    <w:rsid w:val="7BD36B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qFormat="1" w:unhideWhenUsed="0" w:uiPriority="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仿宋" w:cs="Times New Roman"/>
      <w:sz w:val="24"/>
      <w:szCs w:val="21"/>
      <w:lang w:val="en-US" w:eastAsia="zh-CN" w:bidi="ar-SA"/>
    </w:rPr>
  </w:style>
  <w:style w:type="paragraph" w:styleId="2">
    <w:name w:val="heading 1"/>
    <w:basedOn w:val="1"/>
    <w:next w:val="3"/>
    <w:autoRedefine/>
    <w:qFormat/>
    <w:uiPriority w:val="0"/>
    <w:pPr>
      <w:keepNext/>
      <w:keepLines/>
      <w:numPr>
        <w:ilvl w:val="0"/>
        <w:numId w:val="1"/>
      </w:numPr>
      <w:adjustRightInd w:val="0"/>
      <w:snapToGrid w:val="0"/>
      <w:ind w:firstLineChars="0"/>
      <w:outlineLvl w:val="0"/>
    </w:pPr>
    <w:rPr>
      <w:rFonts w:eastAsia="黑体"/>
      <w:bCs/>
      <w:sz w:val="30"/>
      <w:szCs w:val="36"/>
    </w:rPr>
  </w:style>
  <w:style w:type="paragraph" w:styleId="4">
    <w:name w:val="heading 2"/>
    <w:basedOn w:val="2"/>
    <w:next w:val="3"/>
    <w:autoRedefine/>
    <w:qFormat/>
    <w:uiPriority w:val="0"/>
    <w:pPr>
      <w:numPr>
        <w:ilvl w:val="1"/>
      </w:numPr>
      <w:outlineLvl w:val="1"/>
    </w:pPr>
    <w:rPr>
      <w:rFonts w:eastAsia="楷体"/>
      <w:szCs w:val="32"/>
    </w:rPr>
  </w:style>
  <w:style w:type="paragraph" w:styleId="5">
    <w:name w:val="heading 3"/>
    <w:basedOn w:val="2"/>
    <w:next w:val="3"/>
    <w:autoRedefine/>
    <w:qFormat/>
    <w:uiPriority w:val="0"/>
    <w:pPr>
      <w:numPr>
        <w:ilvl w:val="2"/>
      </w:numPr>
      <w:outlineLvl w:val="2"/>
    </w:pPr>
    <w:rPr>
      <w:rFonts w:eastAsia="仿宋"/>
      <w:b/>
      <w:bCs w:val="0"/>
      <w:sz w:val="28"/>
      <w:szCs w:val="32"/>
    </w:rPr>
  </w:style>
  <w:style w:type="paragraph" w:styleId="6">
    <w:name w:val="heading 4"/>
    <w:basedOn w:val="2"/>
    <w:next w:val="3"/>
    <w:autoRedefine/>
    <w:qFormat/>
    <w:uiPriority w:val="0"/>
    <w:pPr>
      <w:numPr>
        <w:ilvl w:val="3"/>
      </w:numPr>
      <w:outlineLvl w:val="3"/>
    </w:pPr>
    <w:rPr>
      <w:rFonts w:eastAsia="仿宋"/>
      <w:b/>
      <w:bCs w:val="0"/>
      <w:sz w:val="24"/>
      <w:szCs w:val="28"/>
    </w:rPr>
  </w:style>
  <w:style w:type="paragraph" w:styleId="7">
    <w:name w:val="heading 5"/>
    <w:basedOn w:val="2"/>
    <w:next w:val="3"/>
    <w:autoRedefine/>
    <w:qFormat/>
    <w:uiPriority w:val="0"/>
    <w:pPr>
      <w:numPr>
        <w:ilvl w:val="4"/>
      </w:numPr>
      <w:outlineLvl w:val="4"/>
    </w:pPr>
    <w:rPr>
      <w:rFonts w:eastAsia="仿宋"/>
      <w:bCs w:val="0"/>
      <w:sz w:val="24"/>
      <w:szCs w:val="28"/>
    </w:rPr>
  </w:style>
  <w:style w:type="paragraph" w:styleId="8">
    <w:name w:val="heading 6"/>
    <w:basedOn w:val="2"/>
    <w:next w:val="3"/>
    <w:autoRedefine/>
    <w:qFormat/>
    <w:uiPriority w:val="0"/>
    <w:pPr>
      <w:numPr>
        <w:ilvl w:val="5"/>
      </w:numPr>
      <w:outlineLvl w:val="5"/>
    </w:pPr>
    <w:rPr>
      <w:rFonts w:eastAsia="仿宋"/>
      <w:bCs w:val="0"/>
      <w:sz w:val="24"/>
      <w:szCs w:val="21"/>
    </w:rPr>
  </w:style>
  <w:style w:type="paragraph" w:styleId="9">
    <w:name w:val="heading 7"/>
    <w:basedOn w:val="2"/>
    <w:next w:val="3"/>
    <w:autoRedefine/>
    <w:qFormat/>
    <w:uiPriority w:val="0"/>
    <w:pPr>
      <w:numPr>
        <w:ilvl w:val="6"/>
      </w:numPr>
      <w:outlineLvl w:val="6"/>
    </w:pPr>
    <w:rPr>
      <w:rFonts w:eastAsia="仿宋"/>
      <w:bCs w:val="0"/>
      <w:sz w:val="24"/>
      <w:szCs w:val="24"/>
    </w:rPr>
  </w:style>
  <w:style w:type="paragraph" w:styleId="10">
    <w:name w:val="heading 8"/>
    <w:basedOn w:val="2"/>
    <w:next w:val="3"/>
    <w:qFormat/>
    <w:uiPriority w:val="0"/>
    <w:pPr>
      <w:numPr>
        <w:ilvl w:val="7"/>
      </w:numPr>
      <w:outlineLvl w:val="7"/>
    </w:pPr>
    <w:rPr>
      <w:b/>
      <w:sz w:val="24"/>
      <w:szCs w:val="24"/>
    </w:rPr>
  </w:style>
  <w:style w:type="paragraph" w:styleId="11">
    <w:name w:val="heading 9"/>
    <w:basedOn w:val="2"/>
    <w:next w:val="3"/>
    <w:qFormat/>
    <w:uiPriority w:val="0"/>
    <w:pPr>
      <w:numPr>
        <w:ilvl w:val="8"/>
      </w:numPr>
      <w:outlineLvl w:val="8"/>
    </w:pPr>
    <w:rPr>
      <w:b/>
      <w:sz w:val="24"/>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80"/>
    </w:pPr>
  </w:style>
  <w:style w:type="paragraph" w:styleId="12">
    <w:name w:val="toc 7"/>
    <w:basedOn w:val="1"/>
    <w:next w:val="1"/>
    <w:autoRedefine/>
    <w:semiHidden/>
    <w:qFormat/>
    <w:uiPriority w:val="0"/>
    <w:pPr>
      <w:ind w:left="2520" w:leftChars="1200"/>
    </w:pPr>
  </w:style>
  <w:style w:type="paragraph" w:styleId="13">
    <w:name w:val="Document Map"/>
    <w:basedOn w:val="1"/>
    <w:semiHidden/>
    <w:qFormat/>
    <w:uiPriority w:val="0"/>
    <w:pPr>
      <w:shd w:val="clear" w:color="auto" w:fill="000080"/>
    </w:pPr>
  </w:style>
  <w:style w:type="paragraph" w:styleId="14">
    <w:name w:val="toc 5"/>
    <w:basedOn w:val="1"/>
    <w:next w:val="1"/>
    <w:autoRedefine/>
    <w:qFormat/>
    <w:uiPriority w:val="0"/>
    <w:pPr>
      <w:ind w:left="800" w:leftChars="800" w:firstLine="0" w:firstLineChars="0"/>
    </w:pPr>
  </w:style>
  <w:style w:type="paragraph" w:styleId="15">
    <w:name w:val="Plain Text"/>
    <w:basedOn w:val="1"/>
    <w:qFormat/>
    <w:uiPriority w:val="0"/>
    <w:rPr>
      <w:rFonts w:ascii="宋体" w:hAnsi="Courier New" w:cs="Courier New"/>
      <w:sz w:val="21"/>
    </w:rPr>
  </w:style>
  <w:style w:type="paragraph" w:styleId="16">
    <w:name w:val="toc 8"/>
    <w:basedOn w:val="1"/>
    <w:next w:val="1"/>
    <w:autoRedefine/>
    <w:semiHidden/>
    <w:qFormat/>
    <w:uiPriority w:val="0"/>
    <w:pPr>
      <w:ind w:left="2940" w:leftChars="1400"/>
    </w:pPr>
  </w:style>
  <w:style w:type="paragraph" w:styleId="17">
    <w:name w:val="footer"/>
    <w:basedOn w:val="1"/>
    <w:qFormat/>
    <w:uiPriority w:val="0"/>
    <w:pPr>
      <w:tabs>
        <w:tab w:val="center" w:pos="4153"/>
        <w:tab w:val="right" w:pos="8306"/>
      </w:tabs>
      <w:snapToGrid w:val="0"/>
      <w:spacing w:line="240" w:lineRule="auto"/>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autoRedefine/>
    <w:qFormat/>
    <w:uiPriority w:val="39"/>
    <w:pPr>
      <w:adjustRightInd w:val="0"/>
      <w:snapToGrid w:val="0"/>
      <w:spacing w:before="50" w:beforeLines="50"/>
      <w:ind w:firstLine="0" w:firstLineChars="0"/>
    </w:pPr>
    <w:rPr>
      <w:rFonts w:ascii="Times New Roman" w:hAnsi="Times New Roman" w:eastAsia="黑体"/>
      <w:kern w:val="2"/>
      <w:szCs w:val="24"/>
    </w:rPr>
  </w:style>
  <w:style w:type="paragraph" w:styleId="20">
    <w:name w:val="toc 4"/>
    <w:basedOn w:val="1"/>
    <w:next w:val="1"/>
    <w:autoRedefine/>
    <w:semiHidden/>
    <w:qFormat/>
    <w:uiPriority w:val="0"/>
    <w:pPr>
      <w:ind w:left="600" w:leftChars="600" w:firstLine="0" w:firstLineChars="0"/>
    </w:pPr>
  </w:style>
  <w:style w:type="paragraph" w:styleId="21">
    <w:name w:val="Subtitle"/>
    <w:basedOn w:val="22"/>
    <w:qFormat/>
    <w:uiPriority w:val="0"/>
    <w:pPr>
      <w:spacing w:line="480" w:lineRule="auto"/>
    </w:pPr>
    <w:rPr>
      <w:bCs w:val="0"/>
      <w:sz w:val="32"/>
      <w:szCs w:val="32"/>
    </w:rPr>
  </w:style>
  <w:style w:type="paragraph" w:styleId="22">
    <w:name w:val="Title"/>
    <w:basedOn w:val="1"/>
    <w:qFormat/>
    <w:uiPriority w:val="0"/>
    <w:pPr>
      <w:spacing w:line="720" w:lineRule="auto"/>
      <w:jc w:val="center"/>
    </w:pPr>
    <w:rPr>
      <w:rFonts w:cs="Arial"/>
      <w:b/>
      <w:bCs/>
      <w:sz w:val="52"/>
      <w:szCs w:val="44"/>
    </w:rPr>
  </w:style>
  <w:style w:type="paragraph" w:styleId="23">
    <w:name w:val="toc 6"/>
    <w:basedOn w:val="1"/>
    <w:next w:val="1"/>
    <w:autoRedefine/>
    <w:semiHidden/>
    <w:qFormat/>
    <w:uiPriority w:val="0"/>
    <w:pPr>
      <w:ind w:left="2100" w:leftChars="1000"/>
    </w:pPr>
  </w:style>
  <w:style w:type="paragraph" w:styleId="24">
    <w:name w:val="toc 9"/>
    <w:basedOn w:val="1"/>
    <w:next w:val="1"/>
    <w:autoRedefine/>
    <w:semiHidden/>
    <w:qFormat/>
    <w:uiPriority w:val="0"/>
    <w:pPr>
      <w:ind w:left="3360" w:leftChars="1600"/>
    </w:pPr>
  </w:style>
  <w:style w:type="character" w:styleId="27">
    <w:name w:val="page number"/>
    <w:basedOn w:val="26"/>
    <w:qFormat/>
    <w:uiPriority w:val="0"/>
  </w:style>
  <w:style w:type="character" w:styleId="28">
    <w:name w:val="Emphasis"/>
    <w:basedOn w:val="26"/>
    <w:qFormat/>
    <w:uiPriority w:val="0"/>
    <w:rPr>
      <w:i/>
      <w:iCs/>
    </w:rPr>
  </w:style>
  <w:style w:type="character" w:styleId="29">
    <w:name w:val="Hyperlink"/>
    <w:basedOn w:val="26"/>
    <w:qFormat/>
    <w:uiPriority w:val="99"/>
    <w:rPr>
      <w:color w:val="0000FF"/>
      <w:u w:val="single"/>
    </w:rPr>
  </w:style>
  <w:style w:type="paragraph" w:customStyle="1" w:styleId="30">
    <w:name w:val="正文中"/>
    <w:basedOn w:val="1"/>
    <w:qFormat/>
    <w:uiPriority w:val="0"/>
    <w:pPr>
      <w:jc w:val="center"/>
    </w:pPr>
  </w:style>
  <w:style w:type="paragraph" w:customStyle="1" w:styleId="31">
    <w:name w:val="正文右"/>
    <w:basedOn w:val="1"/>
    <w:qFormat/>
    <w:uiPriority w:val="0"/>
    <w:pPr>
      <w:jc w:val="right"/>
    </w:pPr>
  </w:style>
  <w:style w:type="paragraph" w:customStyle="1" w:styleId="32">
    <w:name w:val="指南"/>
    <w:basedOn w:val="1"/>
    <w:next w:val="3"/>
    <w:qFormat/>
    <w:uiPriority w:val="0"/>
    <w:rPr>
      <w:i/>
      <w:color w:val="0000FF"/>
    </w:rPr>
  </w:style>
  <w:style w:type="paragraph" w:customStyle="1" w:styleId="33">
    <w:name w:val="指南缩进"/>
    <w:basedOn w:val="32"/>
    <w:next w:val="3"/>
    <w:qFormat/>
    <w:uiPriority w:val="0"/>
  </w:style>
  <w:style w:type="paragraph" w:customStyle="1" w:styleId="34">
    <w:name w:val="指南项"/>
    <w:basedOn w:val="1"/>
    <w:qFormat/>
    <w:uiPriority w:val="0"/>
    <w:pPr>
      <w:numPr>
        <w:ilvl w:val="0"/>
        <w:numId w:val="2"/>
      </w:numPr>
      <w:tabs>
        <w:tab w:val="clear" w:pos="425"/>
      </w:tabs>
      <w:ind w:left="400" w:leftChars="200" w:hanging="200" w:hangingChars="200"/>
    </w:pPr>
    <w:rPr>
      <w:b/>
      <w:i/>
      <w:color w:val="0000FF"/>
    </w:rPr>
  </w:style>
  <w:style w:type="paragraph" w:customStyle="1" w:styleId="35">
    <w:name w:val="正文项"/>
    <w:basedOn w:val="1"/>
    <w:next w:val="1"/>
    <w:qFormat/>
    <w:uiPriority w:val="0"/>
    <w:pPr>
      <w:ind w:left="400" w:leftChars="200" w:hanging="200" w:hangingChars="200"/>
    </w:pPr>
  </w:style>
  <w:style w:type="table" w:customStyle="1" w:styleId="36">
    <w:name w:val="表格"/>
    <w:basedOn w:val="25"/>
    <w:qFormat/>
    <w:uiPriority w:val="0"/>
    <w:pPr>
      <w:widowControl w:val="0"/>
      <w:spacing w:line="360" w:lineRule="auto"/>
      <w:jc w:val="both"/>
    </w:pPr>
    <w:rPr>
      <w:rFonts w:ascii="Arial" w:hAnsi="Arial"/>
      <w:sz w:val="24"/>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wordWrap/>
        <w:jc w:val="center"/>
      </w:pPr>
      <w:rPr>
        <w:rFonts w:ascii="Arial" w:hAnsi="Arial" w:eastAsia="宋体"/>
        <w:b/>
        <w:i w:val="0"/>
        <w:sz w:val="24"/>
        <w:szCs w:val="21"/>
      </w:rPr>
      <w:tblPr/>
      <w:trPr>
        <w:tblHeader/>
      </w:t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37">
    <w:name w:val="正文编号"/>
    <w:basedOn w:val="1"/>
    <w:qFormat/>
    <w:uiPriority w:val="0"/>
    <w:pPr>
      <w:numPr>
        <w:ilvl w:val="0"/>
        <w:numId w:val="3"/>
      </w:numPr>
      <w:ind w:left="400" w:leftChars="200" w:hanging="200" w:hangingChars="200"/>
    </w:pPr>
  </w:style>
  <w:style w:type="paragraph" w:styleId="38">
    <w:name w:val="No Spacing"/>
    <w:qFormat/>
    <w:uiPriority w:val="1"/>
    <w:pPr>
      <w:widowControl w:val="0"/>
      <w:jc w:val="both"/>
    </w:pPr>
    <w:rPr>
      <w:rFonts w:ascii="Arial" w:hAnsi="Arial" w:eastAsia="宋体" w:cs="Times New Roman"/>
      <w:sz w:val="24"/>
      <w:szCs w:val="21"/>
      <w:lang w:val="en-US" w:eastAsia="zh-CN" w:bidi="ar-SA"/>
    </w:rPr>
  </w:style>
  <w:style w:type="paragraph" w:styleId="39">
    <w:name w:val="List Paragraph"/>
    <w:basedOn w:val="1"/>
    <w:qFormat/>
    <w:uiPriority w:val="34"/>
    <w:pPr>
      <w:ind w:firstLine="420"/>
    </w:pPr>
  </w:style>
  <w:style w:type="paragraph" w:customStyle="1" w:styleId="40">
    <w:name w:val="TOC 标题1"/>
    <w:basedOn w:val="2"/>
    <w:next w:val="1"/>
    <w:unhideWhenUsed/>
    <w:qFormat/>
    <w:uiPriority w:val="39"/>
    <w:pPr>
      <w:widowControl/>
      <w:numPr>
        <w:numId w:val="0"/>
      </w:numPr>
      <w:spacing w:before="240"/>
      <w:outlineLvl w:val="9"/>
    </w:pPr>
    <w:rPr>
      <w:rFonts w:asciiTheme="majorHAnsi" w:hAnsiTheme="majorHAnsi" w:cstheme="majorBidi"/>
      <w:bCs w:val="0"/>
      <w:szCs w:val="32"/>
    </w:rPr>
  </w:style>
  <w:style w:type="paragraph" w:styleId="41">
    <w:name w:val="Quote"/>
    <w:basedOn w:val="1"/>
    <w:next w:val="1"/>
    <w:link w:val="4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引用 字符"/>
    <w:basedOn w:val="26"/>
    <w:link w:val="41"/>
    <w:qFormat/>
    <w:uiPriority w:val="29"/>
    <w:rPr>
      <w:rFonts w:ascii="Arial" w:hAnsi="Arial" w:eastAsia="仿宋"/>
      <w:i/>
      <w:iCs/>
      <w:color w:val="404040" w:themeColor="text1" w:themeTint="BF"/>
      <w:sz w:val="24"/>
      <w:szCs w:val="21"/>
      <w14:textFill>
        <w14:solidFill>
          <w14:schemeClr w14:val="tx1">
            <w14:lumMod w14:val="75000"/>
            <w14:lumOff w14:val="25000"/>
          </w14:schemeClr>
        </w14:solidFill>
      </w14:textFill>
    </w:rPr>
  </w:style>
  <w:style w:type="character" w:customStyle="1" w:styleId="43">
    <w:name w:val="明显强调1"/>
    <w:basedOn w:val="26"/>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6"/>
    <w:link w:val="44"/>
    <w:qFormat/>
    <w:uiPriority w:val="30"/>
    <w:rPr>
      <w:rFonts w:ascii="Arial" w:hAnsi="Arial" w:eastAsia="仿宋"/>
      <w:i/>
      <w:iCs/>
      <w:color w:val="104862" w:themeColor="accent1" w:themeShade="BF"/>
      <w:sz w:val="24"/>
      <w:szCs w:val="21"/>
    </w:rPr>
  </w:style>
  <w:style w:type="character" w:customStyle="1" w:styleId="46">
    <w:name w:val="明显参考1"/>
    <w:basedOn w:val="2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自定义">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5B3D-1099-45C4-B0ED-37A4D0F16903}">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18705</Words>
  <Characters>19438</Characters>
  <Lines>922</Lines>
  <Paragraphs>787</Paragraphs>
  <TotalTime>15</TotalTime>
  <ScaleCrop>false</ScaleCrop>
  <LinksUpToDate>false</LinksUpToDate>
  <CharactersWithSpaces>19610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2025-11-07T06:40:00Z</dcterms:created>
  <dc:creator>C J</dc:creator>
  <cp:lastModifiedBy>Ninja ๑•ૅૄ•๑</cp:lastModifiedBy>
  <dcterms:modified xsi:type="dcterms:W3CDTF">2026-05-21T13:10:03Z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eyJoZGlkIjoiMzEwNTM5NzYwMDRjMzkwZTVkZjY2ODkwMGIxNGU0OTUiLCJ1c2VySWQiOiIyMzU4Nzk0NDYifQ==</vt:lpwstr>
  </property>
  <property fmtid="{D5CDD505-2E9C-101B-9397-08002B2CF9AE}" pid="3" name="KSOProductBuildVer">
    <vt:lpwstr>2052-12.1.0.26375</vt:lpwstr>
  </property>
  <property fmtid="{D5CDD505-2E9C-101B-9397-08002B2CF9AE}" pid="4" name="ICV">
    <vt:lpwstr>4D2F019339C54953BB69EB625C837DB0_13</vt:lpwstr>
  </property>
</Properties>
</file>